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2:01:11:10.  Conduct unbecoming of a law enforcement officer.</w:t>
      </w:r>
      <w:r>
        <w:rPr>
          <w:rFonts w:ascii="Times New Roman" w:hAnsi="Times New Roman"/>
          <w:sz w:val="24"/>
        </w:rPr>
        <w:t xml:space="preserve"> For the purpose of </w:t>
      </w:r>
      <w:r>
        <w:rPr>
          <w:rFonts w:ascii="Times New Roman" w:hAnsi="Times New Roman"/>
          <w:sz w:val="24"/>
          <w:lang w:val="en-US" w:bidi="en-US" w:eastAsia="en-US"/>
        </w:rPr>
        <w:t>this chapter</w:t>
      </w:r>
      <w:r>
        <w:rPr>
          <w:rFonts w:ascii="Times New Roman" w:hAnsi="Times New Roman"/>
          <w:sz w:val="24"/>
        </w:rPr>
        <w:t xml:space="preserve">, "conduct unbecoming of a law enforcement officer" means </w:t>
      </w:r>
      <w:r>
        <w:rPr>
          <w:rFonts w:ascii="Times New Roman" w:hAnsi="Times New Roman"/>
          <w:sz w:val="24"/>
          <w:lang w:val="en-US" w:bidi="en-US" w:eastAsia="en-US"/>
        </w:rPr>
        <w:t xml:space="preserve">the following: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Conduct contrary to professional standards that shows an unfitness to discharge duties, including an act of moral turpitude;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 Conduct which adversely affects morale or efficiency of the force or damages public confidence;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(3) Failure to cooperate with the executive secretary or the commission regarding any investigation into the conduct of a law enforcement officer, unless the investigation subjects the officer to potential criminal liability;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(4) Failure to disclose to the executive secretary any arrest of the law enforcement officer within ten days from the arrest; disclosure to the executive secretary may be accomplished by the officer's agency administrator;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(5) Failure to intervene when a fellow officer is subjecting a person to excessive force, while having a realistic opportunity to take reasonable steps to prevent harm from occurring; an officer must report such intervention to the executive secretary within five days; disclosure to the executive secretary may be accomplished by the officer's agency administrator;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(6) Use or possession of marijuana or any marijuana derivative regardless of whether such use or possession may be legal under state law or pursuant to a valid prescription;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(7) Use or possession of any controlled substance not obtained pursuant to a valid prescription.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34, effective September 16, 1998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2004-05-27T17:50:00Z</dcterms:created>
  <cp:lastModifiedBy>Kelly Thompson</cp:lastModifiedBy>
  <dcterms:modified xsi:type="dcterms:W3CDTF">2021-06-02T13:42:06Z</dcterms:modified>
  <cp:revision>3</cp:revision>
</cp:coreProperties>
</file>