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9EA1B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Reciprocity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commission may waive all or any portion of the training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 requirement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2:01</w:t>
      </w:r>
      <w:r>
        <w:rPr>
          <w:rFonts w:ascii="Times New Roman" w:hAnsi="Times New Roman"/>
          <w:sz w:val="24"/>
        </w:rPr>
        <w:t>:13:05, 2:01:13:05.01, and 2:01</w:t>
      </w:r>
      <w:r>
        <w:rPr>
          <w:rFonts w:ascii="Times New Roman" w:hAnsi="Times New Roman"/>
          <w:sz w:val="24"/>
        </w:rPr>
        <w:t>:13:06 upon formal application of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canine team requesting the waiver and a showing that the canine team to be exempted from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training program has completed a course of equivalent content and quality in another jurisdiction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 more than one year previous to the date of the application or has been employed within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previous one year as a canine team in another jurisdiction and has completed a course of equivalent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content and quality. The executive secretary, through the office of law enforcement training, may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administer to the canine team an examination to determine the canine team's state of competence.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Upon completion of the evaluation, the commission shall issue the canine team a certificate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shall notify the canine team of the training to be completed before the canine team can be certified.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After the canine team successfully completes the required training the commission shall issue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canine team a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23-3-35.4, 23-3-35.5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