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2:07:01:01.  Approved training course for newly selected county coroners.</w:t>
      </w:r>
      <w:r>
        <w:rPr>
          <w:rFonts w:ascii="Times New Roman" w:hAnsi="Times New Roman"/>
          <w:sz w:val="24"/>
        </w:rPr>
        <w:t xml:space="preserve"> The training course for newly selected county coroners shall consist of a curriculum of at least 16 hours of training. The curriculum shall include the following subject areas: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Death scene investigation; and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Death registration.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135, effective January 24, 2011.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23-3-35(15).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7-14-10, 23-3-35(15).</w:t>
      </w:r>
    </w:p>
    <w:p w:rsidR="0021036E" w:rsidRDefault="0021036E" w:rsidP="0074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036E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65"/>
    <w:rsid w:val="000037BF"/>
    <w:rsid w:val="0021036E"/>
    <w:rsid w:val="00745165"/>
    <w:rsid w:val="00791450"/>
    <w:rsid w:val="008F4ABB"/>
    <w:rsid w:val="00961235"/>
    <w:rsid w:val="009A41DB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383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2011-01-23T18:53:00Z</dcterms:created>
  <dcterms:modified xsi:type="dcterms:W3CDTF">2011-03-21T20:43:00Z</dcterms:modified>
</cp:coreProperties>
</file>