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52F05E0" Type="http://schemas.openxmlformats.org/officeDocument/2006/relationships/officeDocument" Target="/word/document.xml" /><Relationship Id="coreR652F05E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12:07:17:03.  Eligibility requirements for applicants.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93, effective January 1, 1993; 38 SDR 45, effective September 22, 2011</w:t>
      </w:r>
      <w:r>
        <w:rPr>
          <w:rFonts w:ascii="Times New Roman" w:hAnsi="Times New Roman"/>
          <w:sz w:val="24"/>
        </w:rPr>
        <w:t>; 45 SDR 31, effective September 13,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2011-09-22T14:17:00Z</dcterms:created>
  <cp:lastModifiedBy>Rhonda Purkapile</cp:lastModifiedBy>
  <dcterms:modified xsi:type="dcterms:W3CDTF">2018-09-06T21:01:30Z</dcterms:modified>
  <cp:revision>3</cp:revision>
</cp:coreProperties>
</file>