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12:62:03:01.  Characteristics of noxious weed.</w:t>
      </w:r>
      <w:r>
        <w:rPr>
          <w:rFonts w:ascii="Times New Roman" w:hAnsi="Times New Roman"/>
          <w:sz w:val="24"/>
        </w:rPr>
        <w:t xml:space="preserve"> A noxious weed possesses the following characteristics: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weed is a perennial;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weed is capable of unique and rapid spreading and growth under adverse conditions;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weed is not controllable without special preventive chemical, mechanical, biological, and cultural practices;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weed is capable of materially reducing the production of crops or livestock;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weed is capable of decreasing the value of the land; and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weed is not native to the state.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83, effective February 7, 1984; 12 SDR 128, 12 SDR 154, effective July 1, 1986; repealed, 22 SDR 52, effective October 25, 1995; readopted, 23 SDR 185, effective May 8, 1997.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38-22-7, 38-22-9, 38-22-11.1.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38-22-7, 38-22-9.</w:t>
      </w:r>
    </w:p>
    <w:p w:rsidR="00B75074" w:rsidRDefault="00B75074" w:rsidP="00105E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75074" w:rsidSect="00B75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5E0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75074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2004-06-04T19:29:00Z</dcterms:created>
  <dcterms:modified xsi:type="dcterms:W3CDTF">2004-06-04T19:29:00Z</dcterms:modified>
</cp:coreProperties>
</file>