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12:62:03:01.01.  Characteristics of declared pest.</w:t>
      </w:r>
      <w:r>
        <w:rPr>
          <w:rFonts w:ascii="Times New Roman" w:hAnsi="Times New Roman"/>
          <w:sz w:val="24"/>
        </w:rPr>
        <w:t xml:space="preserve"> A declared pest possesses the following characteristics: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pest is capable of spreading rapidly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by natural means in a previously uninfested area;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pest is not controllable without special preventive, chemical, biological, and cultural practices;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pest is capable of materially reducing the production of crops and livestock.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10 SDR 83, effective February 7, 1984; 12 SDR 128, 12 SDR 154, effective July 1, 1986; repealed, 22 SDR 52, effective October 25, 1995; readopted, 23 SDR 185, effective May 8, 1997.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38-22-7, 38-22-9, 38-22-11.1.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38-22-7, 38-22-9.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2004-06-04T19:30:00Z</dcterms:created>
  <cp:lastModifiedBy>Kelly Thompson</cp:lastModifiedBy>
  <dcterms:modified xsi:type="dcterms:W3CDTF">2023-07-12T15:21:05Z</dcterms:modified>
  <cp:revision>3</cp:revision>
</cp:coreProperties>
</file>