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116DE7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CHAPTER 12:68:27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sz w:val="24"/>
        </w:rPr>
      </w:pPr>
      <w:r>
        <w:rPr>
          <w:b w:val="1"/>
          <w:sz w:val="24"/>
        </w:rPr>
        <w:t>TRICHOMONIASIS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12:68:27:01</w:t>
        <w:tab/>
        <w:tab/>
        <w:t>Importation requirements for bulls.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12:68:27:02</w:t>
        <w:tab/>
        <w:tab/>
        <w:t>Exemptions to the importation requirements of § 12:68:27:01.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12:68:27:03</w:t>
        <w:tab/>
        <w:tab/>
        <w:t>Intrastate trichomoniasis testing requirements for bulls.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>12:68:27:04</w:t>
        <w:tab/>
        <w:tab/>
        <w:t>Trichomoniasis control requirements for females.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2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1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"/>
    <w:basedOn w:val="C0"/>
    <w:link w:val="P1"/>
    <w:semiHidden/>
    <w:rPr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