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LABOR AND REGULATION</w:t>
      </w: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DIVISION OF INSURANCE</w:t>
      </w: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MEDICARE SUPPLEMENT REFUND CALCULATION FORMS</w:t>
      </w: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 20:</w:t>
      </w:r>
      <w:smartTag w:uri="urn:schemas-microsoft-com:office:smarttags" w:element="time">
        <w:smartTagPr>
          <w:attr w:name="Minute" w:val="13"/>
          <w:attr w:name="Hour" w:val="18"/>
        </w:smartTagPr>
        <w:r>
          <w:rPr>
            <w:rFonts w:ascii="Times New Roman" w:hAnsi="Times New Roman"/>
            <w:sz w:val="24"/>
          </w:rPr>
          <w:t>06:13</w:t>
        </w:r>
      </w:smartTag>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A</w:t>
      </w: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t xml:space="preserve"> </w:t>
      </w:r>
      <w:r>
        <w:rPr>
          <w:rFonts w:ascii="Times New Roman" w:hAnsi="Times New Roman"/>
          <w:sz w:val="24"/>
        </w:rPr>
        <w:t>20:06:13:21.01</w:t>
      </w: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 31 SDR 214, effective July 6, 2005; 39 SDR 10, effective August 1, 2012.</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b/>
          <w:sz w:val="24"/>
        </w:rPr>
      </w:pPr>
      <w:r>
        <w:rPr>
          <w:rFonts w:ascii="Times New Roman" w:hAnsi="Times New Roman"/>
          <w:sz w:val="24"/>
        </w:rPr>
        <w:br w:type="page"/>
      </w:r>
      <w:r>
        <w:rPr>
          <w:rFonts w:ascii="Times Roman" w:hAnsi="Times Roman"/>
          <w:b/>
          <w:sz w:val="24"/>
        </w:rPr>
        <w:t>APPENDIX A</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4"/>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MEDICARE SUPPLEMENT REFUND CALCULATION FORM</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FOR CALENDAR YEAR_________________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4"/>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TYPE (u) ___________________________ SMSBP (</w:t>
      </w:r>
      <w:r>
        <w:rPr>
          <w:rFonts w:ascii="Times Roman" w:hAnsi="Times Roman"/>
        </w:rPr>
        <w:t>w</w:t>
      </w:r>
      <w:r>
        <w:rPr>
          <w:rFonts w:ascii="Times Roman" w:hAnsi="Times Roman"/>
          <w:sz w:val="24"/>
        </w:rPr>
        <w:t>) 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For the State of ______________ Company Name 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NAIC Group Code ___________ NAIC Company Code 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Address ________________________________________________________________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Person Completing This Exhibit _____________________________________________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Title ____________________________________ Telephone Number_______________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p>
    <w:tbl>
      <w:tblPr>
        <w:tblW w:w="0" w:type="auto"/>
        <w:tblInd w:w="-24" w:type="dxa"/>
        <w:tblLayout w:type="fixed"/>
        <w:tblCellMar>
          <w:left w:w="72" w:type="dxa"/>
          <w:right w:w="72" w:type="dxa"/>
        </w:tblCellMar>
        <w:tblLook w:val="0000"/>
      </w:tblPr>
      <w:tblGrid>
        <w:gridCol w:w="24"/>
        <w:gridCol w:w="612"/>
        <w:gridCol w:w="5850"/>
        <w:gridCol w:w="1620"/>
        <w:gridCol w:w="1530"/>
      </w:tblGrid>
      <w:tr w:rsidR="00DA2FB0">
        <w:tblPrEx>
          <w:tblCellMar>
            <w:top w:w="0" w:type="dxa"/>
            <w:bottom w:w="0" w:type="dxa"/>
          </w:tblCellMar>
        </w:tblPrEx>
        <w:trPr>
          <w:gridBefore w:val="1"/>
          <w:wBefore w:w="24" w:type="dxa"/>
        </w:trPr>
        <w:tc>
          <w:tcPr>
            <w:tcW w:w="612" w:type="dxa"/>
          </w:tcPr>
          <w:p w:rsidR="00DA2FB0" w:rsidRDefault="00DA2FB0" w:rsidP="00B36806">
            <w:pPr>
              <w:tabs>
                <w:tab w:val="left" w:pos="576"/>
                <w:tab w:val="lef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s>
              <w:jc w:val="right"/>
              <w:rPr>
                <w:rFonts w:ascii="Times Roman" w:hAnsi="Times Roman"/>
                <w:sz w:val="22"/>
              </w:rPr>
            </w:pPr>
          </w:p>
          <w:p w:rsidR="00DA2FB0" w:rsidRDefault="00DA2FB0" w:rsidP="00B36806">
            <w:pPr>
              <w:tabs>
                <w:tab w:val="left" w:pos="576"/>
                <w:tab w:val="lef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s>
              <w:jc w:val="right"/>
              <w:rPr>
                <w:rFonts w:ascii="Times Roman" w:hAnsi="Times Roman"/>
                <w:sz w:val="22"/>
              </w:rPr>
            </w:pPr>
          </w:p>
          <w:p w:rsidR="00DA2FB0" w:rsidRDefault="00DA2FB0" w:rsidP="00B36806">
            <w:pPr>
              <w:tabs>
                <w:tab w:val="left" w:pos="576"/>
                <w:tab w:val="lef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s>
              <w:jc w:val="right"/>
              <w:rPr>
                <w:rFonts w:ascii="Times Roman" w:hAnsi="Times Roman"/>
                <w:sz w:val="22"/>
              </w:rPr>
            </w:pPr>
            <w:r>
              <w:rPr>
                <w:rFonts w:ascii="Times Roman" w:hAnsi="Times Roman"/>
                <w:sz w:val="22"/>
              </w:rPr>
              <w:t>Line</w:t>
            </w:r>
          </w:p>
        </w:tc>
        <w:tc>
          <w:tcPr>
            <w:tcW w:w="585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br/>
            </w:r>
            <w:r>
              <w:rPr>
                <w:rFonts w:ascii="Times Roman" w:hAnsi="Times Roman"/>
                <w:sz w:val="22"/>
              </w:rPr>
              <w:br/>
            </w:r>
          </w:p>
        </w:tc>
        <w:tc>
          <w:tcPr>
            <w:tcW w:w="162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(a)</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Earned</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u w:val="single"/>
              </w:rPr>
              <w:t xml:space="preserve">  Premium (</w:t>
            </w:r>
            <w:r>
              <w:rPr>
                <w:rFonts w:ascii="Times Roman" w:hAnsi="Times Roman"/>
                <w:u w:val="single"/>
              </w:rPr>
              <w:t>x</w:t>
            </w:r>
            <w:r>
              <w:rPr>
                <w:rFonts w:ascii="Times Roman" w:hAnsi="Times Roman"/>
                <w:sz w:val="22"/>
                <w:u w:val="single"/>
              </w:rPr>
              <w:t>)</w:t>
            </w:r>
            <w:r>
              <w:rPr>
                <w:rFonts w:ascii="Times Roman" w:hAnsi="Times Roman"/>
                <w:sz w:val="22"/>
              </w:rPr>
              <w:br/>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(b)</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Incurred</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u w:val="single"/>
              </w:rPr>
              <w:t xml:space="preserve">  Claims (</w:t>
            </w:r>
            <w:r>
              <w:rPr>
                <w:rFonts w:ascii="Times Roman" w:hAnsi="Times Roman"/>
                <w:u w:val="single"/>
              </w:rPr>
              <w:t>y</w:t>
            </w:r>
            <w:r>
              <w:rPr>
                <w:rFonts w:ascii="Times Roman" w:hAnsi="Times Roman"/>
                <w:sz w:val="22"/>
                <w:u w:val="single"/>
              </w:rPr>
              <w:t>)</w:t>
            </w:r>
          </w:p>
        </w:tc>
      </w:tr>
      <w:tr w:rsidR="00DA2FB0">
        <w:tblPrEx>
          <w:tblCellMar>
            <w:top w:w="0" w:type="dxa"/>
            <w:bottom w:w="0" w:type="dxa"/>
          </w:tblCellMar>
        </w:tblPrEx>
        <w:trPr>
          <w:gridBefore w:val="1"/>
          <w:wBefore w:w="24" w:type="dxa"/>
        </w:trPr>
        <w:tc>
          <w:tcPr>
            <w:tcW w:w="612" w:type="dxa"/>
          </w:tcPr>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1.</w:t>
            </w:r>
          </w:p>
        </w:tc>
        <w:tc>
          <w:tcPr>
            <w:tcW w:w="5850" w:type="dxa"/>
          </w:tcPr>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Current Year's Experience</w:t>
            </w:r>
          </w:p>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620" w:type="dxa"/>
          </w:tcPr>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br/>
            </w:r>
          </w:p>
        </w:tc>
        <w:tc>
          <w:tcPr>
            <w:tcW w:w="1530" w:type="dxa"/>
          </w:tcPr>
          <w:p w:rsidR="00DA2FB0" w:rsidRDefault="00DA2FB0" w:rsidP="000632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768"/>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048"/>
                <w:tab w:val="left" w:pos="7680"/>
              </w:tabs>
              <w:jc w:val="right"/>
              <w:rPr>
                <w:rFonts w:ascii="Times Roman" w:hAnsi="Times Roman"/>
                <w:sz w:val="22"/>
              </w:rPr>
            </w:pPr>
          </w:p>
        </w:tc>
        <w:tc>
          <w:tcPr>
            <w:tcW w:w="585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a. Total (all policy years)</w:t>
            </w:r>
          </w:p>
        </w:tc>
        <w:tc>
          <w:tcPr>
            <w:tcW w:w="162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br/>
            </w:r>
          </w:p>
        </w:tc>
        <w:tc>
          <w:tcPr>
            <w:tcW w:w="585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b. Current year's issues (</w:t>
            </w:r>
            <w:r>
              <w:rPr>
                <w:rFonts w:ascii="Times Roman" w:hAnsi="Times Roman"/>
              </w:rPr>
              <w:t>z</w:t>
            </w:r>
            <w:r>
              <w:rPr>
                <w:rFonts w:ascii="Times Roman" w:hAnsi="Times Roman"/>
                <w:sz w:val="22"/>
              </w:rPr>
              <w:t>)</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c. Net (for reporting  purposes = 1a - 1b)</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62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br/>
              <w:t>___________</w:t>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2.</w:t>
            </w:r>
          </w:p>
        </w:tc>
        <w:tc>
          <w:tcPr>
            <w:tcW w:w="585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Past Years' Experience (all policy years) </w:t>
            </w:r>
          </w:p>
        </w:tc>
        <w:tc>
          <w:tcPr>
            <w:tcW w:w="162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3.</w:t>
            </w:r>
          </w:p>
        </w:tc>
        <w:tc>
          <w:tcPr>
            <w:tcW w:w="585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Total Experience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(Net Current Year + Past Year's Experience)</w:t>
            </w:r>
          </w:p>
        </w:tc>
        <w:tc>
          <w:tcPr>
            <w:tcW w:w="162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br/>
              <w:t>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768"/>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968"/>
              </w:tabs>
              <w:jc w:val="right"/>
              <w:rPr>
                <w:rFonts w:ascii="Times Roman" w:hAnsi="Times Roman"/>
                <w:sz w:val="22"/>
              </w:rPr>
            </w:pPr>
            <w:r>
              <w:rPr>
                <w:rFonts w:ascii="Times Roman" w:hAnsi="Times Roman"/>
                <w:sz w:val="22"/>
              </w:rPr>
              <w:t>4.</w:t>
            </w:r>
          </w:p>
        </w:tc>
        <w:tc>
          <w:tcPr>
            <w:tcW w:w="7470"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Refunds Last Year (Excluding Interest) </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5.</w:t>
            </w:r>
          </w:p>
        </w:tc>
        <w:tc>
          <w:tcPr>
            <w:tcW w:w="7470"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Previous Since Inception (Excluding Interest)</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6.</w:t>
            </w:r>
          </w:p>
        </w:tc>
        <w:tc>
          <w:tcPr>
            <w:tcW w:w="7470"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Refunds Since Inception (Excluding Interest)</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7.</w:t>
            </w:r>
          </w:p>
        </w:tc>
        <w:tc>
          <w:tcPr>
            <w:tcW w:w="7470"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Benchmark Ratio Since Inception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(SEE WORKSHEET FOR RATIO  1)</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8.</w:t>
            </w:r>
            <w:r>
              <w:rPr>
                <w:rFonts w:ascii="Times Roman" w:hAnsi="Times Roman"/>
                <w:sz w:val="22"/>
              </w:rPr>
              <w:br/>
            </w:r>
            <w:r>
              <w:rPr>
                <w:rFonts w:ascii="Times Roman" w:hAnsi="Times Roman"/>
                <w:sz w:val="22"/>
              </w:rPr>
              <w:br/>
            </w:r>
            <w:r>
              <w:rPr>
                <w:rFonts w:ascii="Times Roman" w:hAnsi="Times Roman"/>
                <w:sz w:val="22"/>
              </w:rPr>
              <w:br/>
            </w:r>
          </w:p>
        </w:tc>
        <w:tc>
          <w:tcPr>
            <w:tcW w:w="7470"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Experienced Ratio Since Inception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Total Actual Incurred Claims (line 3, col. b) = Ratio 2 </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Total Earned Prem. (line 3, col. a) - Refunds Since Inception (line 6) </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9.</w:t>
            </w:r>
            <w:r>
              <w:rPr>
                <w:rFonts w:ascii="Times Roman" w:hAnsi="Times Roman"/>
                <w:sz w:val="22"/>
              </w:rPr>
              <w:br/>
            </w:r>
            <w:r>
              <w:rPr>
                <w:rFonts w:ascii="Times Roman" w:hAnsi="Times Roman"/>
                <w:sz w:val="22"/>
              </w:rPr>
              <w:br/>
            </w:r>
            <w:r>
              <w:rPr>
                <w:rFonts w:ascii="Times Roman" w:hAnsi="Times Roman"/>
                <w:sz w:val="22"/>
              </w:rPr>
              <w:br/>
            </w:r>
          </w:p>
        </w:tc>
        <w:tc>
          <w:tcPr>
            <w:tcW w:w="7470"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Life Years Exposed Since Inception   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If the Experienced Ratio is less than the Benchmark Ratio, and there are more than 500 life years exposure, then proceed to calculation of refund.</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left w:w="96" w:type="dxa"/>
            <w:bottom w:w="0" w:type="dxa"/>
            <w:right w:w="96" w:type="dxa"/>
          </w:tblCellMar>
        </w:tblPrEx>
        <w:tc>
          <w:tcPr>
            <w:tcW w:w="636"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10.</w:t>
            </w:r>
          </w:p>
        </w:tc>
        <w:tc>
          <w:tcPr>
            <w:tcW w:w="7470" w:type="dxa"/>
            <w:gridSpan w:val="2"/>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Tolerance Permitted (obtained from credibility table)  __________</w:t>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bl>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2"/>
        </w:rPr>
        <w:br w:type="page"/>
      </w:r>
      <w:r>
        <w:rPr>
          <w:rFonts w:ascii="Times Roman" w:hAnsi="Times Roman"/>
          <w:sz w:val="24"/>
        </w:rPr>
        <w:t>MEDICARE SUPPLEMENT REFUND CALCULATION FORM</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FOR CALENDAR YEAR_________________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4"/>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TYPE (u) ___________________________ SMSBP (</w:t>
      </w:r>
      <w:r>
        <w:rPr>
          <w:rFonts w:ascii="Times Roman" w:hAnsi="Times Roman"/>
        </w:rPr>
        <w:t>w</w:t>
      </w:r>
      <w:r>
        <w:rPr>
          <w:rFonts w:ascii="Times Roman" w:hAnsi="Times Roman"/>
          <w:sz w:val="24"/>
        </w:rPr>
        <w:t>) 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For the State of ______________ Company Name 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NAIC Group Code ___________ NAIC Company Code 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Address ________________________________________________________________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Person Completing This Exhibit _____________________________________________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Title ____________________________________ Telephone Number_______________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p>
    <w:tbl>
      <w:tblPr>
        <w:tblW w:w="0" w:type="auto"/>
        <w:tblLayout w:type="fixed"/>
        <w:tblCellMar>
          <w:left w:w="96" w:type="dxa"/>
          <w:right w:w="96" w:type="dxa"/>
        </w:tblCellMar>
        <w:tblLook w:val="0000"/>
      </w:tblPr>
      <w:tblGrid>
        <w:gridCol w:w="636"/>
        <w:gridCol w:w="7470"/>
        <w:gridCol w:w="1530"/>
      </w:tblGrid>
      <w:tr w:rsidR="00DA2FB0">
        <w:tblPrEx>
          <w:tblCellMar>
            <w:top w:w="0" w:type="dxa"/>
            <w:bottom w:w="0" w:type="dxa"/>
          </w:tblCellMar>
        </w:tblPrEx>
        <w:tc>
          <w:tcPr>
            <w:tcW w:w="636" w:type="dxa"/>
          </w:tcPr>
          <w:p w:rsidR="00DA2FB0" w:rsidRDefault="00DA2FB0" w:rsidP="00B36806">
            <w:pPr>
              <w:tabs>
                <w:tab w:val="left" w:pos="576"/>
                <w:tab w:val="left" w:pos="672"/>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11.</w:t>
            </w:r>
          </w:p>
        </w:tc>
        <w:tc>
          <w:tcPr>
            <w:tcW w:w="747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Adjustment to Incurred Claims for Credibility</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bottom w:w="0" w:type="dxa"/>
          </w:tblCellMar>
        </w:tblPrEx>
        <w:tc>
          <w:tcPr>
            <w:tcW w:w="636" w:type="dxa"/>
          </w:tcPr>
          <w:p w:rsidR="00DA2FB0" w:rsidRDefault="00DA2FB0" w:rsidP="00B36806">
            <w:pPr>
              <w:tabs>
                <w:tab w:val="left" w:pos="576"/>
                <w:tab w:val="left" w:pos="672"/>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br/>
            </w:r>
          </w:p>
        </w:tc>
        <w:tc>
          <w:tcPr>
            <w:tcW w:w="747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Ratio 3 = Ratio 2 + Tolerance </w:t>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bl>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If Ratio 3 is more than Benchmark Ratio (Ratio 1), a refund or credit to premium is not required.</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If Ratio 3 is less than the Benchmark Ratio, then proceed.</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p>
    <w:tbl>
      <w:tblPr>
        <w:tblW w:w="0" w:type="auto"/>
        <w:tblLayout w:type="fixed"/>
        <w:tblCellMar>
          <w:left w:w="96" w:type="dxa"/>
          <w:right w:w="96" w:type="dxa"/>
        </w:tblCellMar>
        <w:tblLook w:val="0000"/>
      </w:tblPr>
      <w:tblGrid>
        <w:gridCol w:w="636"/>
        <w:gridCol w:w="7470"/>
        <w:gridCol w:w="1530"/>
      </w:tblGrid>
      <w:tr w:rsidR="00DA2FB0">
        <w:tblPrEx>
          <w:tblCellMar>
            <w:top w:w="0" w:type="dxa"/>
            <w:bottom w:w="0" w:type="dxa"/>
          </w:tblCellMar>
        </w:tblPrEx>
        <w:tc>
          <w:tcPr>
            <w:tcW w:w="636" w:type="dxa"/>
          </w:tcPr>
          <w:p w:rsidR="00DA2FB0" w:rsidRDefault="00DA2FB0" w:rsidP="00B36806">
            <w:pPr>
              <w:tabs>
                <w:tab w:val="left" w:pos="576"/>
                <w:tab w:val="left" w:pos="672"/>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12.</w:t>
            </w:r>
          </w:p>
        </w:tc>
        <w:tc>
          <w:tcPr>
            <w:tcW w:w="747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Adjusted Incurred Claims =</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bottom w:w="0" w:type="dxa"/>
          </w:tblCellMar>
        </w:tblPrEx>
        <w:tc>
          <w:tcPr>
            <w:tcW w:w="636" w:type="dxa"/>
          </w:tcPr>
          <w:p w:rsidR="00DA2FB0" w:rsidRDefault="00DA2FB0" w:rsidP="00B36806">
            <w:pPr>
              <w:tabs>
                <w:tab w:val="left" w:pos="576"/>
                <w:tab w:val="left" w:pos="672"/>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br/>
            </w:r>
            <w:r>
              <w:rPr>
                <w:rFonts w:ascii="Times Roman" w:hAnsi="Times Roman"/>
                <w:sz w:val="22"/>
              </w:rPr>
              <w:br/>
            </w:r>
          </w:p>
        </w:tc>
        <w:tc>
          <w:tcPr>
            <w:tcW w:w="747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[Total Earned Premiums (line 3, col. a) - Refunds Since Inception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(line 6)] x Ratio 3 (line 11) </w:t>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bottom w:w="0" w:type="dxa"/>
          </w:tblCellMar>
        </w:tblPrEx>
        <w:tc>
          <w:tcPr>
            <w:tcW w:w="636" w:type="dxa"/>
          </w:tcPr>
          <w:p w:rsidR="00DA2FB0" w:rsidRDefault="00DA2FB0" w:rsidP="00B36806">
            <w:pPr>
              <w:tabs>
                <w:tab w:val="left" w:pos="576"/>
                <w:tab w:val="left" w:pos="672"/>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t>13.</w:t>
            </w:r>
          </w:p>
        </w:tc>
        <w:tc>
          <w:tcPr>
            <w:tcW w:w="747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Refund = Total Earned Premiums (line 3, col. a) -</w:t>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bottom w:w="0" w:type="dxa"/>
          </w:tblCellMar>
        </w:tblPrEx>
        <w:tc>
          <w:tcPr>
            <w:tcW w:w="636" w:type="dxa"/>
          </w:tcPr>
          <w:p w:rsidR="00DA2FB0" w:rsidRDefault="00DA2FB0" w:rsidP="00B36806">
            <w:pPr>
              <w:tabs>
                <w:tab w:val="left" w:pos="576"/>
                <w:tab w:val="left" w:pos="672"/>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br/>
            </w:r>
            <w:r>
              <w:rPr>
                <w:rFonts w:ascii="Times Roman" w:hAnsi="Times Roman"/>
                <w:sz w:val="22"/>
              </w:rPr>
              <w:br/>
            </w:r>
          </w:p>
        </w:tc>
        <w:tc>
          <w:tcPr>
            <w:tcW w:w="747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Refunds Since Inception (line 6) -</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Adjusted Incurred Claims (line 12)</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w:t>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r w:rsidR="00DA2FB0">
        <w:tblPrEx>
          <w:tblCellMar>
            <w:top w:w="0" w:type="dxa"/>
            <w:bottom w:w="0" w:type="dxa"/>
          </w:tblCellMar>
        </w:tblPrEx>
        <w:tc>
          <w:tcPr>
            <w:tcW w:w="636" w:type="dxa"/>
          </w:tcPr>
          <w:p w:rsidR="00DA2FB0" w:rsidRDefault="00DA2FB0" w:rsidP="00B36806">
            <w:pPr>
              <w:tabs>
                <w:tab w:val="left" w:pos="576"/>
                <w:tab w:val="left" w:pos="672"/>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Roman" w:hAnsi="Times Roman"/>
                <w:sz w:val="22"/>
              </w:rPr>
            </w:pPr>
            <w:r>
              <w:rPr>
                <w:rFonts w:ascii="Times Roman" w:hAnsi="Times Roman"/>
                <w:sz w:val="22"/>
              </w:rPr>
              <w:br/>
            </w:r>
          </w:p>
        </w:tc>
        <w:tc>
          <w:tcPr>
            <w:tcW w:w="747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Benchmark Ratio (Ratio 1) </w:t>
            </w:r>
          </w:p>
        </w:tc>
        <w:tc>
          <w:tcPr>
            <w:tcW w:w="1530"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 xml:space="preserve"> </w:t>
            </w:r>
          </w:p>
        </w:tc>
      </w:tr>
    </w:tbl>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If the amount on line 13 is less than .005 times the annualized premium in force as of December 31 of the reporting year, then no refund is made. Otherwise, the amount on line 13 is to be refunded or credited, and a description of the refund and/or credit against premiums to be used must be attached to this form.</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Medicare Supplement Credibility Table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t>Life Years Exposed</w:t>
      </w:r>
    </w:p>
    <w:tbl>
      <w:tblPr>
        <w:tblW w:w="0" w:type="auto"/>
        <w:tblLayout w:type="fixed"/>
        <w:tblCellMar>
          <w:left w:w="96" w:type="dxa"/>
          <w:right w:w="96" w:type="dxa"/>
        </w:tblCellMar>
        <w:tblLook w:val="0000"/>
      </w:tblPr>
      <w:tblGrid>
        <w:gridCol w:w="4212"/>
        <w:gridCol w:w="2598"/>
      </w:tblGrid>
      <w:tr w:rsidR="00DA2FB0">
        <w:tblPrEx>
          <w:tblCellMar>
            <w:top w:w="0" w:type="dxa"/>
            <w:bottom w:w="0" w:type="dxa"/>
          </w:tblCellMar>
        </w:tblPrEx>
        <w:tc>
          <w:tcPr>
            <w:tcW w:w="4212"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320"/>
                <w:tab w:val="left" w:pos="4464"/>
                <w:tab w:val="left" w:pos="4896"/>
                <w:tab w:val="left" w:pos="5184"/>
                <w:tab w:val="left" w:pos="5616"/>
                <w:tab w:val="left" w:pos="5904"/>
              </w:tabs>
              <w:jc w:val="center"/>
              <w:rPr>
                <w:rFonts w:ascii="Times Roman" w:hAnsi="Times Roman"/>
                <w:sz w:val="22"/>
                <w:u w:val="single"/>
              </w:rPr>
            </w:pPr>
            <w:r>
              <w:rPr>
                <w:rFonts w:ascii="Times Roman" w:hAnsi="Times Roman"/>
                <w:sz w:val="22"/>
                <w:u w:val="single"/>
              </w:rPr>
              <w:t>Since Inception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320"/>
                <w:tab w:val="left" w:pos="4464"/>
                <w:tab w:val="left" w:pos="4896"/>
                <w:tab w:val="left" w:pos="5184"/>
                <w:tab w:val="left" w:pos="5616"/>
                <w:tab w:val="left" w:pos="5904"/>
              </w:tabs>
              <w:jc w:val="center"/>
              <w:rPr>
                <w:rFonts w:ascii="Times Roman" w:hAnsi="Times Roman"/>
                <w:sz w:val="22"/>
              </w:rPr>
            </w:pPr>
          </w:p>
        </w:tc>
        <w:tc>
          <w:tcPr>
            <w:tcW w:w="2598"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u w:val="single"/>
              </w:rPr>
              <w:t>Tolerance</w:t>
            </w:r>
            <w:r>
              <w:rPr>
                <w:rFonts w:ascii="Times Roman" w:hAnsi="Times Roman"/>
                <w:sz w:val="22"/>
              </w:rPr>
              <w:t xml:space="preserve"> </w:t>
            </w:r>
          </w:p>
        </w:tc>
      </w:tr>
      <w:tr w:rsidR="00DA2FB0">
        <w:tblPrEx>
          <w:tblCellMar>
            <w:top w:w="0" w:type="dxa"/>
            <w:bottom w:w="0" w:type="dxa"/>
          </w:tblCellMar>
        </w:tblPrEx>
        <w:tc>
          <w:tcPr>
            <w:tcW w:w="4212"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10,000 + </w:t>
            </w:r>
          </w:p>
        </w:tc>
        <w:tc>
          <w:tcPr>
            <w:tcW w:w="2598"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0.0% </w:t>
            </w:r>
          </w:p>
        </w:tc>
      </w:tr>
      <w:tr w:rsidR="00DA2FB0">
        <w:tblPrEx>
          <w:tblCellMar>
            <w:top w:w="0" w:type="dxa"/>
            <w:bottom w:w="0" w:type="dxa"/>
          </w:tblCellMar>
        </w:tblPrEx>
        <w:tc>
          <w:tcPr>
            <w:tcW w:w="4212"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5,000 - 9,999 </w:t>
            </w:r>
          </w:p>
        </w:tc>
        <w:tc>
          <w:tcPr>
            <w:tcW w:w="2598"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5.0% </w:t>
            </w:r>
          </w:p>
        </w:tc>
      </w:tr>
      <w:tr w:rsidR="00DA2FB0">
        <w:tblPrEx>
          <w:tblCellMar>
            <w:top w:w="0" w:type="dxa"/>
            <w:bottom w:w="0" w:type="dxa"/>
          </w:tblCellMar>
        </w:tblPrEx>
        <w:tc>
          <w:tcPr>
            <w:tcW w:w="4212"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2,500 - 4,999 </w:t>
            </w:r>
          </w:p>
        </w:tc>
        <w:tc>
          <w:tcPr>
            <w:tcW w:w="2598"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7.5% </w:t>
            </w:r>
          </w:p>
        </w:tc>
      </w:tr>
      <w:tr w:rsidR="00DA2FB0">
        <w:tblPrEx>
          <w:tblCellMar>
            <w:top w:w="0" w:type="dxa"/>
            <w:bottom w:w="0" w:type="dxa"/>
          </w:tblCellMar>
        </w:tblPrEx>
        <w:tc>
          <w:tcPr>
            <w:tcW w:w="4212"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1,000 - 2,499 </w:t>
            </w:r>
          </w:p>
        </w:tc>
        <w:tc>
          <w:tcPr>
            <w:tcW w:w="2598"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10.0% </w:t>
            </w:r>
          </w:p>
        </w:tc>
      </w:tr>
      <w:tr w:rsidR="00DA2FB0">
        <w:tblPrEx>
          <w:tblCellMar>
            <w:top w:w="0" w:type="dxa"/>
            <w:bottom w:w="0" w:type="dxa"/>
          </w:tblCellMar>
        </w:tblPrEx>
        <w:tc>
          <w:tcPr>
            <w:tcW w:w="4212"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500 - 999 </w:t>
            </w:r>
          </w:p>
        </w:tc>
        <w:tc>
          <w:tcPr>
            <w:tcW w:w="2598" w:type="dxa"/>
          </w:tcPr>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2"/>
              </w:rPr>
            </w:pPr>
            <w:r>
              <w:rPr>
                <w:rFonts w:ascii="Times Roman" w:hAnsi="Times Roman"/>
                <w:sz w:val="22"/>
              </w:rPr>
              <w:t xml:space="preserve">15.0% </w:t>
            </w:r>
          </w:p>
        </w:tc>
      </w:tr>
    </w:tbl>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Roman" w:hAnsi="Times Roman"/>
          <w:sz w:val="22"/>
        </w:rPr>
      </w:pPr>
      <w:r>
        <w:rPr>
          <w:rFonts w:ascii="Times Roman" w:hAnsi="Times Roman"/>
          <w:sz w:val="22"/>
        </w:rPr>
        <w:t>If less than 500, no credibility.</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2"/>
        </w:rPr>
        <w:br w:type="page"/>
      </w:r>
      <w:r>
        <w:rPr>
          <w:rFonts w:ascii="Times Roman" w:hAnsi="Times Roman"/>
          <w:sz w:val="24"/>
        </w:rPr>
        <w:t>MEDICARE SUPPLEMENT REFUND CALCULATION FORM</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FOR CALENDAR YEAR_________________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4"/>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TYPE (u) ___________________________ SMSBP (</w:t>
      </w:r>
      <w:r>
        <w:rPr>
          <w:rFonts w:ascii="Times Roman" w:hAnsi="Times Roman"/>
        </w:rPr>
        <w:t>w</w:t>
      </w:r>
      <w:r>
        <w:rPr>
          <w:rFonts w:ascii="Times Roman" w:hAnsi="Times Roman"/>
          <w:sz w:val="24"/>
        </w:rPr>
        <w:t>) 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For the State of ______________ Company Name 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NAIC Group Code ___________ NAIC Company Code 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Address ________________________________________________________________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Person Completing This Exhibit _____________________________________________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Roman" w:hAnsi="Times Roman"/>
          <w:sz w:val="24"/>
        </w:rPr>
      </w:pPr>
      <w:r>
        <w:rPr>
          <w:rFonts w:ascii="Times Roman" w:hAnsi="Times Roman"/>
          <w:sz w:val="24"/>
        </w:rPr>
        <w:t>Title ____________________________________ Telephone Number_______________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(u)   Individual, Group, Individual Medicare Select, or Group Medicare Select Only.</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(w)   "SMSBP" = Standardized Medicare Supplement Benefit Plan - Use "P" for pre-standardized plans.</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(x)   Includes Modal Loadings and Fees Charged</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(y)   Excludes Active Life Reserves</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432" w:hanging="432"/>
        <w:rPr>
          <w:rFonts w:ascii="Times Roman" w:hAnsi="Times Roman"/>
          <w:sz w:val="22"/>
        </w:rPr>
      </w:pPr>
      <w:r>
        <w:rPr>
          <w:rFonts w:ascii="Times Roman" w:hAnsi="Times Roman"/>
          <w:sz w:val="22"/>
        </w:rPr>
        <w:t>(z)   This is to be used as "Issue Year Earned Premium" for Year 1 of next year's "Worksheet for Calculation of Benchmark Ratios."</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I certify that the above information and calculations are true and accurate to the best of my knowledge and belief.</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Signature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Name - Please Type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Title - Please Type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____________________________________</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t>Date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Roman" w:hAnsi="Times Roman"/>
          <w:sz w:val="22"/>
        </w:rPr>
      </w:pPr>
      <w:r>
        <w:rPr>
          <w:rFonts w:ascii="Times Roman" w:hAnsi="Times Roman"/>
          <w:sz w:val="22"/>
        </w:rPr>
        <w:br w:type="page"/>
      </w:r>
    </w:p>
    <w:p w:rsidR="00DA2FB0" w:rsidRDefault="00DA2FB0" w:rsidP="00B36806">
      <w:pPr>
        <w:jc w:val="center"/>
        <w:rPr>
          <w:rFonts w:ascii="Times Roman" w:hAnsi="Times Roman"/>
        </w:rPr>
      </w:pPr>
      <w:r>
        <w:rPr>
          <w:rFonts w:ascii="Times Roman" w:hAnsi="Times Roman"/>
        </w:rPr>
        <w:t xml:space="preserve">REPORTING FORM FOR THE CALCULATION OF BENCHMARK </w:t>
      </w:r>
    </w:p>
    <w:p w:rsidR="00DA2FB0" w:rsidRDefault="00DA2FB0" w:rsidP="00B36806">
      <w:pPr>
        <w:jc w:val="center"/>
        <w:rPr>
          <w:rFonts w:ascii="Times Roman" w:hAnsi="Times Roman"/>
        </w:rPr>
      </w:pPr>
      <w:r>
        <w:rPr>
          <w:rFonts w:ascii="Times Roman" w:hAnsi="Times Roman"/>
        </w:rPr>
        <w:t>RATIO SINCE INCEPTION FOR GROUP POLICIES</w:t>
      </w:r>
    </w:p>
    <w:p w:rsidR="00DA2FB0" w:rsidRDefault="00DA2FB0" w:rsidP="00B36806">
      <w:pPr>
        <w:jc w:val="center"/>
        <w:rPr>
          <w:rFonts w:ascii="Times Roman" w:hAnsi="Times Roman"/>
        </w:rPr>
      </w:pPr>
      <w:r>
        <w:rPr>
          <w:rFonts w:ascii="Times Roman" w:hAnsi="Times Roman"/>
        </w:rPr>
        <w:t>FOR CALENDAR YEAR____________________</w:t>
      </w:r>
    </w:p>
    <w:p w:rsidR="00DA2FB0" w:rsidRDefault="00DA2FB0" w:rsidP="00B36806">
      <w:pPr>
        <w:jc w:val="center"/>
        <w:rPr>
          <w:rFonts w:ascii="Times Roman" w:hAnsi="Times Roman"/>
        </w:rPr>
      </w:pPr>
    </w:p>
    <w:p w:rsidR="00DA2FB0" w:rsidRDefault="00DA2FB0" w:rsidP="00B36806">
      <w:pPr>
        <w:jc w:val="center"/>
        <w:rPr>
          <w:rFonts w:ascii="Times Roman" w:hAnsi="Times Roman"/>
          <w:vertAlign w:val="superscript"/>
        </w:rPr>
      </w:pPr>
      <w:r>
        <w:rPr>
          <w:rFonts w:ascii="Times Roman" w:hAnsi="Times Roman"/>
        </w:rPr>
        <w:t>TYPE (q) ____________________ SMSBP (p) _____________________</w:t>
      </w:r>
    </w:p>
    <w:p w:rsidR="00DA2FB0" w:rsidRDefault="00DA2FB0" w:rsidP="00B36806">
      <w:pPr>
        <w:jc w:val="center"/>
        <w:rPr>
          <w:rFonts w:ascii="Times Roman" w:hAnsi="Times Roman"/>
        </w:rPr>
      </w:pPr>
      <w:r>
        <w:rPr>
          <w:rFonts w:ascii="Times Roman" w:hAnsi="Times Roman"/>
        </w:rPr>
        <w:t>FOR THE STATE OF __________ Company Name _________________</w:t>
      </w:r>
    </w:p>
    <w:p w:rsidR="00DA2FB0" w:rsidRDefault="00DA2FB0" w:rsidP="00B36806">
      <w:pPr>
        <w:jc w:val="center"/>
        <w:rPr>
          <w:rFonts w:ascii="Times Roman" w:hAnsi="Times Roman"/>
        </w:rPr>
      </w:pPr>
      <w:r>
        <w:rPr>
          <w:rFonts w:ascii="Times Roman" w:hAnsi="Times Roman"/>
        </w:rPr>
        <w:t>NAIC Group Code ______________ NAIC Company Code ___________</w:t>
      </w:r>
    </w:p>
    <w:p w:rsidR="00DA2FB0" w:rsidRDefault="00DA2FB0" w:rsidP="00B36806">
      <w:pPr>
        <w:jc w:val="center"/>
        <w:rPr>
          <w:rFonts w:ascii="Times Roman" w:hAnsi="Times Roman"/>
        </w:rPr>
      </w:pPr>
      <w:r>
        <w:rPr>
          <w:rFonts w:ascii="Times Roman" w:hAnsi="Times Roman"/>
        </w:rPr>
        <w:t>Address ____________________________________________________</w:t>
      </w:r>
    </w:p>
    <w:p w:rsidR="00DA2FB0" w:rsidRDefault="00DA2FB0" w:rsidP="00B36806">
      <w:pPr>
        <w:jc w:val="center"/>
        <w:rPr>
          <w:rFonts w:ascii="Times Roman" w:hAnsi="Times Roman"/>
        </w:rPr>
      </w:pPr>
      <w:r>
        <w:rPr>
          <w:rFonts w:ascii="Times Roman" w:hAnsi="Times Roman"/>
        </w:rPr>
        <w:t>Person Completing This Exhibit _________________________________</w:t>
      </w:r>
    </w:p>
    <w:p w:rsidR="00DA2FB0" w:rsidRDefault="00DA2FB0" w:rsidP="00B36806">
      <w:pPr>
        <w:jc w:val="center"/>
        <w:rPr>
          <w:rFonts w:ascii="Times Roman" w:hAnsi="Times Roman"/>
        </w:rPr>
      </w:pPr>
      <w:r>
        <w:rPr>
          <w:rFonts w:ascii="Times Roman" w:hAnsi="Times Roman"/>
        </w:rPr>
        <w:t>Title ___________________________ Telephone Number ____________</w:t>
      </w:r>
    </w:p>
    <w:p w:rsidR="00DA2FB0" w:rsidRPr="00937036" w:rsidRDefault="00DA2FB0" w:rsidP="00B36806">
      <w:pPr>
        <w:rPr>
          <w:rFonts w:ascii="Times New Roman" w:hAnsi="Times New Roman"/>
          <w:sz w:val="18"/>
          <w:szCs w:val="18"/>
        </w:rPr>
      </w:pPr>
    </w:p>
    <w:p w:rsidR="00DA2FB0" w:rsidRPr="00937036" w:rsidRDefault="00DA2FB0" w:rsidP="00B36806">
      <w:pPr>
        <w:rPr>
          <w:rFonts w:ascii="Times New Roman" w:hAnsi="Times New Roman"/>
          <w:sz w:val="18"/>
          <w:szCs w:val="18"/>
        </w:rPr>
      </w:pPr>
    </w:p>
    <w:tbl>
      <w:tblPr>
        <w:tblW w:w="9720"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tblPr>
      <w:tblGrid>
        <w:gridCol w:w="720"/>
        <w:gridCol w:w="900"/>
        <w:gridCol w:w="720"/>
        <w:gridCol w:w="720"/>
        <w:gridCol w:w="1080"/>
        <w:gridCol w:w="720"/>
        <w:gridCol w:w="900"/>
        <w:gridCol w:w="900"/>
        <w:gridCol w:w="1260"/>
        <w:gridCol w:w="810"/>
        <w:gridCol w:w="990"/>
      </w:tblGrid>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(a)</w:t>
            </w: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(b)</w:t>
            </w: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(c) </w:t>
            </w: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(d) </w:t>
            </w: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(e) </w:t>
            </w: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(f) </w:t>
            </w: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(g) </w:t>
            </w: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(h) </w:t>
            </w: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(i) </w:t>
            </w:r>
          </w:p>
        </w:tc>
        <w:tc>
          <w:tcPr>
            <w:tcW w:w="81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(j) </w:t>
            </w: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(o)</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Earned </w:t>
            </w:r>
          </w:p>
        </w:tc>
        <w:tc>
          <w:tcPr>
            <w:tcW w:w="720" w:type="dxa"/>
          </w:tcPr>
          <w:p w:rsidR="00DA2FB0" w:rsidRPr="00937036" w:rsidRDefault="00DA2FB0" w:rsidP="00B36806">
            <w:pPr>
              <w:jc w:val="cente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Cumulative </w:t>
            </w:r>
          </w:p>
        </w:tc>
        <w:tc>
          <w:tcPr>
            <w:tcW w:w="720" w:type="dxa"/>
          </w:tcPr>
          <w:p w:rsidR="00DA2FB0" w:rsidRPr="00937036" w:rsidRDefault="00DA2FB0" w:rsidP="00B36806">
            <w:pPr>
              <w:jc w:val="cente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Cumulative </w:t>
            </w:r>
          </w:p>
        </w:tc>
        <w:tc>
          <w:tcPr>
            <w:tcW w:w="810" w:type="dxa"/>
          </w:tcPr>
          <w:p w:rsidR="00DA2FB0" w:rsidRPr="00937036" w:rsidRDefault="00DA2FB0" w:rsidP="00B36806">
            <w:pPr>
              <w:jc w:val="cente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Policy Year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Year </w:t>
            </w: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Premium </w:t>
            </w: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Factor </w:t>
            </w: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(b) x (c) </w:t>
            </w: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Loss Ratio </w:t>
            </w: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(d) x (e) </w:t>
            </w: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Factor </w:t>
            </w: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(b) x (g) </w:t>
            </w: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Loss Ratio </w:t>
            </w:r>
          </w:p>
        </w:tc>
        <w:tc>
          <w:tcPr>
            <w:tcW w:w="81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(h) x (i) </w:t>
            </w: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Loss Ratio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1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2.770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0.507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0.46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2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0.63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3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1.194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0.759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0.75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4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2.245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0.771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0.77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5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4.175</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3.170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0.782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0.80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6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3.998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0.792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ind w:right="30"/>
              <w:jc w:val="center"/>
              <w:rPr>
                <w:rFonts w:ascii="Times New Roman" w:hAnsi="Times New Roman"/>
                <w:sz w:val="18"/>
                <w:szCs w:val="18"/>
              </w:rPr>
            </w:pPr>
            <w:r w:rsidRPr="00937036">
              <w:rPr>
                <w:rFonts w:ascii="Times New Roman" w:hAnsi="Times New Roman"/>
                <w:sz w:val="18"/>
                <w:szCs w:val="18"/>
              </w:rPr>
              <w:t xml:space="preserve">0.82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7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4.754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0.802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0.84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8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5.445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0.811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0.87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9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6.075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0.818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0.88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10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6.650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0.824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0.88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11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7.176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0.828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0.88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12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7.655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0.831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0.88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13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8.093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0.834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0.89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14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8.493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0.837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0.89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center"/>
              <w:rPr>
                <w:rFonts w:ascii="Times New Roman" w:hAnsi="Times New Roman"/>
                <w:sz w:val="18"/>
                <w:szCs w:val="18"/>
              </w:rPr>
            </w:pPr>
            <w:r w:rsidRPr="00937036">
              <w:rPr>
                <w:rFonts w:ascii="Times New Roman" w:hAnsi="Times New Roman"/>
                <w:sz w:val="18"/>
                <w:szCs w:val="18"/>
              </w:rPr>
              <w:t xml:space="preserve">  15+</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720" w:type="dxa"/>
          </w:tcPr>
          <w:p w:rsidR="00DA2FB0" w:rsidRPr="00937036" w:rsidRDefault="00DA2FB0" w:rsidP="00B36806">
            <w:pP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0.567 </w:t>
            </w:r>
          </w:p>
        </w:tc>
        <w:tc>
          <w:tcPr>
            <w:tcW w:w="72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8.684 </w:t>
            </w:r>
          </w:p>
        </w:tc>
        <w:tc>
          <w:tcPr>
            <w:tcW w:w="900" w:type="dxa"/>
          </w:tcPr>
          <w:p w:rsidR="00DA2FB0" w:rsidRPr="00937036" w:rsidRDefault="00DA2FB0" w:rsidP="00B36806">
            <w:pPr>
              <w:jc w:val="center"/>
              <w:rPr>
                <w:rFonts w:ascii="Times New Roman" w:hAnsi="Times New Roman"/>
                <w:sz w:val="18"/>
                <w:szCs w:val="18"/>
              </w:rPr>
            </w:pPr>
          </w:p>
        </w:tc>
        <w:tc>
          <w:tcPr>
            <w:tcW w:w="126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0.838 </w:t>
            </w:r>
          </w:p>
        </w:tc>
        <w:tc>
          <w:tcPr>
            <w:tcW w:w="810" w:type="dxa"/>
          </w:tcPr>
          <w:p w:rsidR="00DA2FB0" w:rsidRPr="00937036" w:rsidRDefault="00DA2FB0" w:rsidP="00B36806">
            <w:pPr>
              <w:rPr>
                <w:rFonts w:ascii="Times New Roman" w:hAnsi="Times New Roman"/>
                <w:sz w:val="18"/>
                <w:szCs w:val="18"/>
              </w:rPr>
            </w:pPr>
          </w:p>
        </w:tc>
        <w:tc>
          <w:tcPr>
            <w:tcW w:w="99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0.89 </w:t>
            </w:r>
          </w:p>
        </w:tc>
      </w:tr>
      <w:tr w:rsidR="00DA2FB0" w:rsidRPr="00937036">
        <w:tblPrEx>
          <w:tblCellMar>
            <w:top w:w="0" w:type="dxa"/>
            <w:bottom w:w="0" w:type="dxa"/>
          </w:tblCellMar>
        </w:tblPrEx>
        <w:trPr>
          <w:trHeight w:hRule="exact" w:val="259"/>
        </w:trPr>
        <w:tc>
          <w:tcPr>
            <w:tcW w:w="720" w:type="dxa"/>
          </w:tcPr>
          <w:p w:rsidR="00DA2FB0" w:rsidRPr="00937036" w:rsidRDefault="00DA2FB0" w:rsidP="00B36806">
            <w:pPr>
              <w:tabs>
                <w:tab w:val="left" w:pos="960"/>
                <w:tab w:val="left" w:pos="2040"/>
                <w:tab w:val="left" w:pos="3120"/>
                <w:tab w:val="left" w:pos="4200"/>
                <w:tab w:val="left" w:pos="5520"/>
                <w:tab w:val="left" w:pos="6600"/>
                <w:tab w:val="left" w:pos="7800"/>
                <w:tab w:val="left" w:pos="9000"/>
              </w:tabs>
              <w:jc w:val="both"/>
              <w:rPr>
                <w:rFonts w:ascii="Times New Roman" w:hAnsi="Times New Roman"/>
                <w:sz w:val="18"/>
                <w:szCs w:val="18"/>
              </w:rPr>
            </w:pPr>
            <w:r w:rsidRPr="00937036">
              <w:rPr>
                <w:rFonts w:ascii="Times New Roman" w:hAnsi="Times New Roman"/>
                <w:sz w:val="18"/>
                <w:szCs w:val="18"/>
              </w:rPr>
              <w:t xml:space="preserve">Total: </w:t>
            </w:r>
          </w:p>
        </w:tc>
        <w:tc>
          <w:tcPr>
            <w:tcW w:w="90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(k): </w:t>
            </w:r>
          </w:p>
        </w:tc>
        <w:tc>
          <w:tcPr>
            <w:tcW w:w="1080" w:type="dxa"/>
          </w:tcPr>
          <w:p w:rsidR="00DA2FB0" w:rsidRPr="00937036" w:rsidRDefault="00DA2FB0" w:rsidP="00B36806">
            <w:pPr>
              <w:rPr>
                <w:rFonts w:ascii="Times New Roman" w:hAnsi="Times New Roman"/>
                <w:sz w:val="18"/>
                <w:szCs w:val="18"/>
              </w:rPr>
            </w:pPr>
          </w:p>
        </w:tc>
        <w:tc>
          <w:tcPr>
            <w:tcW w:w="720"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(l): </w:t>
            </w:r>
          </w:p>
        </w:tc>
        <w:tc>
          <w:tcPr>
            <w:tcW w:w="900" w:type="dxa"/>
          </w:tcPr>
          <w:p w:rsidR="00DA2FB0" w:rsidRPr="00937036" w:rsidRDefault="00DA2FB0" w:rsidP="00B36806">
            <w:pPr>
              <w:rPr>
                <w:rFonts w:ascii="Times New Roman" w:hAnsi="Times New Roman"/>
                <w:sz w:val="18"/>
                <w:szCs w:val="18"/>
              </w:rPr>
            </w:pPr>
          </w:p>
        </w:tc>
        <w:tc>
          <w:tcPr>
            <w:tcW w:w="900"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(m): </w:t>
            </w:r>
          </w:p>
        </w:tc>
        <w:tc>
          <w:tcPr>
            <w:tcW w:w="1260" w:type="dxa"/>
          </w:tcPr>
          <w:p w:rsidR="00DA2FB0" w:rsidRPr="00937036" w:rsidRDefault="00DA2FB0" w:rsidP="00B36806">
            <w:pPr>
              <w:rPr>
                <w:rFonts w:ascii="Times New Roman" w:hAnsi="Times New Roman"/>
                <w:sz w:val="18"/>
                <w:szCs w:val="18"/>
              </w:rPr>
            </w:pPr>
          </w:p>
        </w:tc>
        <w:tc>
          <w:tcPr>
            <w:tcW w:w="810"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(n): </w:t>
            </w:r>
          </w:p>
        </w:tc>
        <w:tc>
          <w:tcPr>
            <w:tcW w:w="990"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 </w:t>
            </w:r>
          </w:p>
        </w:tc>
      </w:tr>
    </w:tbl>
    <w:p w:rsidR="00DA2FB0" w:rsidRDefault="00DA2FB0" w:rsidP="00B36806">
      <w:pPr>
        <w:rPr>
          <w:rFonts w:ascii="Times Roman" w:hAnsi="Times Roman"/>
          <w:sz w:val="16"/>
        </w:rPr>
      </w:pPr>
    </w:p>
    <w:p w:rsidR="00DA2FB0" w:rsidRDefault="00DA2FB0" w:rsidP="00B36806">
      <w:pPr>
        <w:rPr>
          <w:rFonts w:ascii="Times Roman" w:hAnsi="Times Roman"/>
          <w:sz w:val="16"/>
        </w:rPr>
      </w:pPr>
      <w:r>
        <w:rPr>
          <w:rFonts w:ascii="Times Roman" w:hAnsi="Times Roman"/>
          <w:sz w:val="16"/>
        </w:rPr>
        <w:t>Benchmark Ratio Since Inception:  (1 + n) / (k + m):</w:t>
      </w:r>
    </w:p>
    <w:p w:rsidR="00DA2FB0" w:rsidRDefault="00DA2FB0" w:rsidP="00B36806">
      <w:pPr>
        <w:rPr>
          <w:rFonts w:ascii="Times Roman" w:hAnsi="Times Roman"/>
          <w:sz w:val="16"/>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t>(a):</w:t>
      </w:r>
      <w:r>
        <w:rPr>
          <w:rFonts w:ascii="Times Roman" w:hAnsi="Times Roman"/>
          <w:sz w:val="16"/>
        </w:rPr>
        <w:tab/>
        <w:t>Year 1 is the current calendar year - 1</w:t>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t>(b):</w:t>
      </w:r>
      <w:r>
        <w:rPr>
          <w:rFonts w:ascii="Times Roman" w:hAnsi="Times Roman"/>
          <w:sz w:val="16"/>
        </w:rPr>
        <w:tab/>
        <w:t>For  the calendar year on the appropriate line in column (a),</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Year 2 is the current calendar year - 2 (etc.)</w:t>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t xml:space="preserve">the premium earned during that year for policies issued in </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(Example:  If the current year is 1991, then:</w:t>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t>that year.</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Year 1 is 1990; Year 2 is 1989, etc.).</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Year 15+ is the earned premium for all years prior</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to as well as the 15</w:t>
      </w:r>
      <w:r w:rsidRPr="00AD745B">
        <w:rPr>
          <w:rFonts w:ascii="Times Roman" w:hAnsi="Times Roman"/>
          <w:sz w:val="16"/>
          <w:vertAlign w:val="superscript"/>
        </w:rPr>
        <w:t>th</w:t>
      </w:r>
      <w:r>
        <w:rPr>
          <w:rFonts w:ascii="Times Roman" w:hAnsi="Times Roman"/>
          <w:sz w:val="16"/>
        </w:rPr>
        <w:t xml:space="preserve"> year prior to the current year.</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t>(o):</w:t>
      </w:r>
      <w:r>
        <w:rPr>
          <w:rFonts w:ascii="Times Roman" w:hAnsi="Times Roman"/>
          <w:sz w:val="16"/>
        </w:rPr>
        <w:tab/>
        <w:t>These loss ratios are not explicitly used in computing the</w:t>
      </w:r>
      <w:r>
        <w:rPr>
          <w:rFonts w:ascii="Times Roman" w:hAnsi="Times Roman"/>
          <w:sz w:val="16"/>
        </w:rPr>
        <w:tab/>
        <w:t>(p):</w:t>
      </w:r>
      <w:r>
        <w:rPr>
          <w:rFonts w:ascii="Times Roman" w:hAnsi="Times Roman"/>
          <w:sz w:val="16"/>
        </w:rPr>
        <w:tab/>
        <w:t>"SMSBP" = Standardized Medicare Supplement Benefit Plan.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benchmark loss ratios. They are the loss ratios, on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a policy year basis, which result in the cumulative</w:t>
      </w:r>
      <w:r>
        <w:rPr>
          <w:rFonts w:ascii="Times Roman" w:hAnsi="Times Roman"/>
          <w:sz w:val="16"/>
        </w:rPr>
        <w:tab/>
      </w:r>
      <w:r>
        <w:rPr>
          <w:rFonts w:ascii="Times Roman" w:hAnsi="Times Roman"/>
          <w:sz w:val="16"/>
        </w:rPr>
        <w:tab/>
      </w:r>
      <w:r>
        <w:rPr>
          <w:rFonts w:ascii="Times Roman" w:hAnsi="Times Roman"/>
          <w:sz w:val="16"/>
        </w:rPr>
        <w:tab/>
        <w:t>(q):</w:t>
      </w:r>
      <w:r>
        <w:rPr>
          <w:rFonts w:ascii="Times Roman" w:hAnsi="Times Roman"/>
          <w:sz w:val="16"/>
        </w:rPr>
        <w:tab/>
        <w:t>Individual Group, Individual Medicare Select, or Group Medicare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loss ratios displayed on this worksheet. They are shown</w:t>
      </w:r>
      <w:r>
        <w:rPr>
          <w:rFonts w:ascii="Times Roman" w:hAnsi="Times Roman"/>
          <w:sz w:val="16"/>
        </w:rPr>
        <w:tab/>
      </w:r>
      <w:r>
        <w:rPr>
          <w:rFonts w:ascii="Times Roman" w:hAnsi="Times Roman"/>
          <w:sz w:val="16"/>
        </w:rPr>
        <w:tab/>
      </w:r>
      <w:r>
        <w:rPr>
          <w:rFonts w:ascii="Times Roman" w:hAnsi="Times Roman"/>
          <w:sz w:val="16"/>
        </w:rPr>
        <w:tab/>
        <w:t>Select Only.</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490"/>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here for informational purposes only.</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p>
    <w:p w:rsidR="00DA2FB0" w:rsidRDefault="00DA2FB0" w:rsidP="00B36806">
      <w:pPr>
        <w:jc w:val="center"/>
        <w:rPr>
          <w:rFonts w:ascii="Times Roman" w:hAnsi="Times Roman"/>
        </w:rPr>
      </w:pPr>
    </w:p>
    <w:p w:rsidR="00DA2FB0" w:rsidRDefault="00DA2FB0" w:rsidP="00B36806">
      <w:pPr>
        <w:jc w:val="center"/>
        <w:rPr>
          <w:rFonts w:ascii="Times Roman" w:hAnsi="Times Roman"/>
        </w:rPr>
      </w:pPr>
      <w:r>
        <w:rPr>
          <w:rFonts w:ascii="Times Roman" w:hAnsi="Times Roman"/>
        </w:rPr>
        <w:br w:type="page"/>
        <w:t>REPORTING FORM FOR THE CALCULATION OF BENCHMARK</w:t>
      </w:r>
    </w:p>
    <w:p w:rsidR="00DA2FB0" w:rsidRDefault="00DA2FB0" w:rsidP="00B36806">
      <w:pPr>
        <w:jc w:val="center"/>
        <w:rPr>
          <w:rFonts w:ascii="Times Roman" w:hAnsi="Times Roman"/>
        </w:rPr>
      </w:pPr>
      <w:r>
        <w:rPr>
          <w:rFonts w:ascii="Times Roman" w:hAnsi="Times Roman"/>
        </w:rPr>
        <w:t>RATIO SINCE INCEPTION FOR INDIVIDUAL POLICIES</w:t>
      </w:r>
    </w:p>
    <w:p w:rsidR="00DA2FB0" w:rsidRDefault="00DA2FB0" w:rsidP="00B36806">
      <w:pPr>
        <w:jc w:val="center"/>
        <w:rPr>
          <w:rFonts w:ascii="Times Roman" w:hAnsi="Times Roman"/>
        </w:rPr>
      </w:pPr>
      <w:r>
        <w:rPr>
          <w:rFonts w:ascii="Times Roman" w:hAnsi="Times Roman"/>
        </w:rPr>
        <w:t>FOR CALENDAR YEAR____________________</w:t>
      </w:r>
    </w:p>
    <w:p w:rsidR="00DA2FB0" w:rsidRDefault="00DA2FB0" w:rsidP="00B36806">
      <w:pPr>
        <w:jc w:val="center"/>
        <w:rPr>
          <w:rFonts w:ascii="Times Roman" w:hAnsi="Times Roman"/>
        </w:rPr>
      </w:pPr>
    </w:p>
    <w:p w:rsidR="00DA2FB0" w:rsidRDefault="00DA2FB0" w:rsidP="00B36806">
      <w:pPr>
        <w:jc w:val="center"/>
        <w:rPr>
          <w:rFonts w:ascii="Times Roman" w:hAnsi="Times Roman"/>
          <w:vertAlign w:val="superscript"/>
        </w:rPr>
      </w:pPr>
      <w:r>
        <w:rPr>
          <w:rFonts w:ascii="Times Roman" w:hAnsi="Times Roman"/>
        </w:rPr>
        <w:t>TYPE (q) ____________________ SMSBP (p) _____________________</w:t>
      </w:r>
    </w:p>
    <w:p w:rsidR="00DA2FB0" w:rsidRDefault="00DA2FB0" w:rsidP="00B36806">
      <w:pPr>
        <w:jc w:val="center"/>
        <w:rPr>
          <w:rFonts w:ascii="Times Roman" w:hAnsi="Times Roman"/>
        </w:rPr>
      </w:pPr>
      <w:r>
        <w:rPr>
          <w:rFonts w:ascii="Times Roman" w:hAnsi="Times Roman"/>
        </w:rPr>
        <w:t>FOR THE STATE OF __________ Company Name _________________</w:t>
      </w:r>
    </w:p>
    <w:p w:rsidR="00DA2FB0" w:rsidRDefault="00DA2FB0" w:rsidP="00B36806">
      <w:pPr>
        <w:jc w:val="center"/>
        <w:rPr>
          <w:rFonts w:ascii="Times Roman" w:hAnsi="Times Roman"/>
        </w:rPr>
      </w:pPr>
      <w:r>
        <w:rPr>
          <w:rFonts w:ascii="Times Roman" w:hAnsi="Times Roman"/>
        </w:rPr>
        <w:t>NAIC Group Code ______________ NAIC Company Code ___________</w:t>
      </w:r>
    </w:p>
    <w:p w:rsidR="00DA2FB0" w:rsidRDefault="00DA2FB0" w:rsidP="00B36806">
      <w:pPr>
        <w:jc w:val="center"/>
        <w:rPr>
          <w:rFonts w:ascii="Times Roman" w:hAnsi="Times Roman"/>
        </w:rPr>
      </w:pPr>
      <w:r>
        <w:rPr>
          <w:rFonts w:ascii="Times Roman" w:hAnsi="Times Roman"/>
        </w:rPr>
        <w:t>Address ____________________________________________________</w:t>
      </w:r>
    </w:p>
    <w:p w:rsidR="00DA2FB0" w:rsidRDefault="00DA2FB0" w:rsidP="00B36806">
      <w:pPr>
        <w:jc w:val="center"/>
        <w:rPr>
          <w:rFonts w:ascii="Times Roman" w:hAnsi="Times Roman"/>
        </w:rPr>
      </w:pPr>
      <w:r>
        <w:rPr>
          <w:rFonts w:ascii="Times Roman" w:hAnsi="Times Roman"/>
        </w:rPr>
        <w:t>Person Completing This Exhibit _________________________________</w:t>
      </w:r>
    </w:p>
    <w:p w:rsidR="00DA2FB0" w:rsidRDefault="00DA2FB0" w:rsidP="00B36806">
      <w:pPr>
        <w:jc w:val="center"/>
        <w:rPr>
          <w:rFonts w:ascii="Times Roman" w:hAnsi="Times Roman"/>
        </w:rPr>
      </w:pPr>
      <w:r>
        <w:rPr>
          <w:rFonts w:ascii="Times Roman" w:hAnsi="Times Roman"/>
        </w:rPr>
        <w:t>Title ___________________________ Telephone Number ____________</w:t>
      </w:r>
    </w:p>
    <w:p w:rsidR="00DA2FB0" w:rsidRPr="007A146A" w:rsidRDefault="00DA2FB0" w:rsidP="00B36806">
      <w:pPr>
        <w:rPr>
          <w:rFonts w:ascii="Times Roman" w:hAnsi="Times Roman"/>
          <w:sz w:val="18"/>
          <w:szCs w:val="18"/>
        </w:rPr>
      </w:pPr>
    </w:p>
    <w:p w:rsidR="00DA2FB0" w:rsidRPr="00937036" w:rsidRDefault="00DA2FB0" w:rsidP="00B36806">
      <w:pPr>
        <w:rPr>
          <w:rFonts w:ascii="Times New Roman" w:hAnsi="Times New Roman"/>
          <w:sz w:val="18"/>
          <w:szCs w:val="18"/>
        </w:rPr>
      </w:pP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tblPr>
      <w:tblGrid>
        <w:gridCol w:w="713"/>
        <w:gridCol w:w="823"/>
        <w:gridCol w:w="823"/>
        <w:gridCol w:w="823"/>
        <w:gridCol w:w="1152"/>
        <w:gridCol w:w="823"/>
        <w:gridCol w:w="823"/>
        <w:gridCol w:w="823"/>
        <w:gridCol w:w="1087"/>
        <w:gridCol w:w="810"/>
        <w:gridCol w:w="1080"/>
      </w:tblGrid>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(a)</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(b)</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(c)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(d) </w:t>
            </w: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(e)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(f)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(g)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(h) </w:t>
            </w: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(i)</w:t>
            </w:r>
          </w:p>
        </w:tc>
        <w:tc>
          <w:tcPr>
            <w:tcW w:w="81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(j) </w:t>
            </w: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(o)</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Earned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Cumulative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Cumulative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Policy Year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Year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Premium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Factor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(b) x (c) </w:t>
            </w: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Loss Ratio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(d) x (e)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Factor </w:t>
            </w: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(b) x (g) </w:t>
            </w: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Loss Ratio </w:t>
            </w:r>
          </w:p>
        </w:tc>
        <w:tc>
          <w:tcPr>
            <w:tcW w:w="81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(h) x (i) </w:t>
            </w: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Loss Ratio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 1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2.770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0.442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0.40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 2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0.000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0.55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1.194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0.659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 0.65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4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2.245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0.669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 0.67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5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3.170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0.678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 0.69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6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3.998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0.686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0.71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7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4.754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0.695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0.73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8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5.445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0.702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0.75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9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6.075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0.708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0.76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10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6.650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0.713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0.76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11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7.176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0.717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0.76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12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7.655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0.720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0.77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13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8.093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0.723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0.77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14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8.493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0.725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0.77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center"/>
              <w:rPr>
                <w:rFonts w:ascii="Times New Roman" w:hAnsi="Times New Roman"/>
                <w:sz w:val="18"/>
                <w:szCs w:val="18"/>
              </w:rPr>
            </w:pPr>
            <w:r w:rsidRPr="00937036">
              <w:rPr>
                <w:rFonts w:ascii="Times New Roman" w:hAnsi="Times New Roman"/>
                <w:sz w:val="18"/>
                <w:szCs w:val="18"/>
              </w:rPr>
              <w:t xml:space="preserve">  15+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4.175 </w:t>
            </w:r>
          </w:p>
        </w:tc>
        <w:tc>
          <w:tcPr>
            <w:tcW w:w="823" w:type="dxa"/>
          </w:tcPr>
          <w:p w:rsidR="00DA2FB0" w:rsidRPr="00937036" w:rsidRDefault="00DA2FB0" w:rsidP="00B36806">
            <w:pPr>
              <w:jc w:val="center"/>
              <w:rPr>
                <w:rFonts w:ascii="Times New Roman" w:hAnsi="Times New Roman"/>
                <w:sz w:val="18"/>
                <w:szCs w:val="18"/>
              </w:rPr>
            </w:pPr>
          </w:p>
        </w:tc>
        <w:tc>
          <w:tcPr>
            <w:tcW w:w="1152"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0.493 </w:t>
            </w:r>
          </w:p>
        </w:tc>
        <w:tc>
          <w:tcPr>
            <w:tcW w:w="823" w:type="dxa"/>
          </w:tcPr>
          <w:p w:rsidR="00DA2FB0" w:rsidRPr="00937036" w:rsidRDefault="00DA2FB0" w:rsidP="00B36806">
            <w:pPr>
              <w:jc w:val="center"/>
              <w:rPr>
                <w:rFonts w:ascii="Times New Roman" w:hAnsi="Times New Roman"/>
                <w:sz w:val="18"/>
                <w:szCs w:val="18"/>
              </w:rPr>
            </w:pPr>
          </w:p>
        </w:tc>
        <w:tc>
          <w:tcPr>
            <w:tcW w:w="823"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8.684 </w:t>
            </w:r>
          </w:p>
        </w:tc>
        <w:tc>
          <w:tcPr>
            <w:tcW w:w="823" w:type="dxa"/>
          </w:tcPr>
          <w:p w:rsidR="00DA2FB0" w:rsidRPr="00937036" w:rsidRDefault="00DA2FB0" w:rsidP="00B36806">
            <w:pPr>
              <w:jc w:val="center"/>
              <w:rPr>
                <w:rFonts w:ascii="Times New Roman" w:hAnsi="Times New Roman"/>
                <w:sz w:val="18"/>
                <w:szCs w:val="18"/>
              </w:rPr>
            </w:pPr>
          </w:p>
        </w:tc>
        <w:tc>
          <w:tcPr>
            <w:tcW w:w="1087"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0.725 </w:t>
            </w:r>
          </w:p>
        </w:tc>
        <w:tc>
          <w:tcPr>
            <w:tcW w:w="810" w:type="dxa"/>
          </w:tcPr>
          <w:p w:rsidR="00DA2FB0" w:rsidRPr="00937036" w:rsidRDefault="00DA2FB0" w:rsidP="00B36806">
            <w:pPr>
              <w:jc w:val="center"/>
              <w:rPr>
                <w:rFonts w:ascii="Times New Roman" w:hAnsi="Times New Roman"/>
                <w:sz w:val="18"/>
                <w:szCs w:val="18"/>
              </w:rPr>
            </w:pPr>
          </w:p>
        </w:tc>
        <w:tc>
          <w:tcPr>
            <w:tcW w:w="1080" w:type="dxa"/>
          </w:tcPr>
          <w:p w:rsidR="00DA2FB0" w:rsidRPr="00937036" w:rsidRDefault="00DA2FB0" w:rsidP="00B36806">
            <w:pPr>
              <w:jc w:val="center"/>
              <w:rPr>
                <w:rFonts w:ascii="Times New Roman" w:hAnsi="Times New Roman"/>
                <w:sz w:val="18"/>
                <w:szCs w:val="18"/>
              </w:rPr>
            </w:pPr>
            <w:r w:rsidRPr="00937036">
              <w:rPr>
                <w:rFonts w:ascii="Times New Roman" w:hAnsi="Times New Roman"/>
                <w:sz w:val="18"/>
                <w:szCs w:val="18"/>
              </w:rPr>
              <w:t xml:space="preserve">0.77 </w:t>
            </w:r>
          </w:p>
        </w:tc>
      </w:tr>
      <w:tr w:rsidR="00DA2FB0" w:rsidRPr="00937036">
        <w:tblPrEx>
          <w:tblCellMar>
            <w:top w:w="0" w:type="dxa"/>
            <w:bottom w:w="0" w:type="dxa"/>
          </w:tblCellMar>
        </w:tblPrEx>
        <w:trPr>
          <w:trHeight w:hRule="exact" w:val="259"/>
        </w:trPr>
        <w:tc>
          <w:tcPr>
            <w:tcW w:w="713" w:type="dxa"/>
          </w:tcPr>
          <w:p w:rsidR="00DA2FB0" w:rsidRPr="00937036" w:rsidRDefault="00DA2FB0" w:rsidP="00B36806">
            <w:pPr>
              <w:tabs>
                <w:tab w:val="left" w:pos="960"/>
                <w:tab w:val="left" w:pos="2040"/>
                <w:tab w:val="left" w:pos="3120"/>
                <w:tab w:val="left" w:pos="4200"/>
                <w:tab w:val="left" w:pos="5520"/>
                <w:tab w:val="left" w:pos="6600"/>
                <w:tab w:val="left" w:pos="7800"/>
                <w:tab w:val="left" w:pos="8880"/>
              </w:tabs>
              <w:jc w:val="both"/>
              <w:rPr>
                <w:rFonts w:ascii="Times New Roman" w:hAnsi="Times New Roman"/>
                <w:sz w:val="18"/>
                <w:szCs w:val="18"/>
              </w:rPr>
            </w:pPr>
            <w:r w:rsidRPr="00937036">
              <w:rPr>
                <w:rFonts w:ascii="Times New Roman" w:hAnsi="Times New Roman"/>
                <w:sz w:val="18"/>
                <w:szCs w:val="18"/>
              </w:rPr>
              <w:t xml:space="preserve">Total: </w:t>
            </w:r>
          </w:p>
        </w:tc>
        <w:tc>
          <w:tcPr>
            <w:tcW w:w="823" w:type="dxa"/>
          </w:tcPr>
          <w:p w:rsidR="00DA2FB0" w:rsidRPr="00937036" w:rsidRDefault="00DA2FB0" w:rsidP="00B36806">
            <w:pPr>
              <w:rPr>
                <w:rFonts w:ascii="Times New Roman" w:hAnsi="Times New Roman"/>
                <w:sz w:val="18"/>
                <w:szCs w:val="18"/>
              </w:rPr>
            </w:pPr>
          </w:p>
        </w:tc>
        <w:tc>
          <w:tcPr>
            <w:tcW w:w="823" w:type="dxa"/>
          </w:tcPr>
          <w:p w:rsidR="00DA2FB0" w:rsidRPr="00937036" w:rsidRDefault="00DA2FB0" w:rsidP="00B36806">
            <w:pPr>
              <w:rPr>
                <w:rFonts w:ascii="Times New Roman" w:hAnsi="Times New Roman"/>
                <w:sz w:val="18"/>
                <w:szCs w:val="18"/>
              </w:rPr>
            </w:pPr>
          </w:p>
        </w:tc>
        <w:tc>
          <w:tcPr>
            <w:tcW w:w="823"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(k): </w:t>
            </w:r>
          </w:p>
        </w:tc>
        <w:tc>
          <w:tcPr>
            <w:tcW w:w="1152" w:type="dxa"/>
          </w:tcPr>
          <w:p w:rsidR="00DA2FB0" w:rsidRPr="00937036" w:rsidRDefault="00DA2FB0" w:rsidP="00B36806">
            <w:pPr>
              <w:rPr>
                <w:rFonts w:ascii="Times New Roman" w:hAnsi="Times New Roman"/>
                <w:sz w:val="18"/>
                <w:szCs w:val="18"/>
              </w:rPr>
            </w:pPr>
          </w:p>
        </w:tc>
        <w:tc>
          <w:tcPr>
            <w:tcW w:w="823"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(l): </w:t>
            </w:r>
          </w:p>
        </w:tc>
        <w:tc>
          <w:tcPr>
            <w:tcW w:w="823" w:type="dxa"/>
          </w:tcPr>
          <w:p w:rsidR="00DA2FB0" w:rsidRPr="00937036" w:rsidRDefault="00DA2FB0" w:rsidP="00B36806">
            <w:pPr>
              <w:rPr>
                <w:rFonts w:ascii="Times New Roman" w:hAnsi="Times New Roman"/>
                <w:sz w:val="18"/>
                <w:szCs w:val="18"/>
              </w:rPr>
            </w:pPr>
          </w:p>
        </w:tc>
        <w:tc>
          <w:tcPr>
            <w:tcW w:w="823"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(m): </w:t>
            </w:r>
          </w:p>
        </w:tc>
        <w:tc>
          <w:tcPr>
            <w:tcW w:w="1087" w:type="dxa"/>
          </w:tcPr>
          <w:p w:rsidR="00DA2FB0" w:rsidRPr="00937036" w:rsidRDefault="00DA2FB0" w:rsidP="00B36806">
            <w:pPr>
              <w:rPr>
                <w:rFonts w:ascii="Times New Roman" w:hAnsi="Times New Roman"/>
                <w:sz w:val="18"/>
                <w:szCs w:val="18"/>
              </w:rPr>
            </w:pPr>
          </w:p>
        </w:tc>
        <w:tc>
          <w:tcPr>
            <w:tcW w:w="810"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(n): </w:t>
            </w:r>
          </w:p>
        </w:tc>
        <w:tc>
          <w:tcPr>
            <w:tcW w:w="1080" w:type="dxa"/>
          </w:tcPr>
          <w:p w:rsidR="00DA2FB0" w:rsidRPr="00937036" w:rsidRDefault="00DA2FB0" w:rsidP="00B36806">
            <w:pPr>
              <w:rPr>
                <w:rFonts w:ascii="Times New Roman" w:hAnsi="Times New Roman"/>
                <w:sz w:val="18"/>
                <w:szCs w:val="18"/>
              </w:rPr>
            </w:pPr>
            <w:r w:rsidRPr="00937036">
              <w:rPr>
                <w:rFonts w:ascii="Times New Roman" w:hAnsi="Times New Roman"/>
                <w:sz w:val="18"/>
                <w:szCs w:val="18"/>
              </w:rPr>
              <w:t xml:space="preserve"> </w:t>
            </w:r>
          </w:p>
        </w:tc>
      </w:tr>
    </w:tbl>
    <w:p w:rsidR="00DA2FB0" w:rsidRPr="00937036" w:rsidRDefault="00DA2FB0" w:rsidP="00B36806">
      <w:pPr>
        <w:rPr>
          <w:rFonts w:ascii="Times Roman" w:hAnsi="Times Roman"/>
          <w:sz w:val="18"/>
          <w:szCs w:val="18"/>
        </w:rPr>
      </w:pPr>
    </w:p>
    <w:p w:rsidR="00DA2FB0" w:rsidRDefault="00DA2FB0" w:rsidP="00B36806">
      <w:pPr>
        <w:rPr>
          <w:rFonts w:ascii="Times Roman" w:hAnsi="Times Roman"/>
          <w:sz w:val="16"/>
        </w:rPr>
      </w:pPr>
      <w:r>
        <w:rPr>
          <w:rFonts w:ascii="Times Roman" w:hAnsi="Times Roman"/>
          <w:sz w:val="16"/>
        </w:rPr>
        <w:t>Benchmark Ratio Since Inception: (l  +  n) / (k  +  m):</w:t>
      </w:r>
    </w:p>
    <w:p w:rsidR="00DA2FB0" w:rsidRDefault="00DA2FB0" w:rsidP="00B36806">
      <w:pPr>
        <w:rPr>
          <w:sz w:val="16"/>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t>(a):</w:t>
      </w:r>
      <w:r>
        <w:rPr>
          <w:rFonts w:ascii="Times Roman" w:hAnsi="Times Roman"/>
          <w:sz w:val="16"/>
        </w:rPr>
        <w:tab/>
        <w:t>Year 1 is the current calendar year - 1</w:t>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t>(b):</w:t>
      </w:r>
      <w:r>
        <w:rPr>
          <w:rFonts w:ascii="Times Roman" w:hAnsi="Times Roman"/>
          <w:sz w:val="16"/>
        </w:rPr>
        <w:tab/>
        <w:t>For the calendar year on the appropriate line in column (a),</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Year 2 is the current calendar year - 2 (etc.)</w:t>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t xml:space="preserve">the premium earned during that year for policies issued in that </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(Example:  If the current year is 1991, then:</w:t>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r>
      <w:r>
        <w:rPr>
          <w:rFonts w:ascii="Times Roman" w:hAnsi="Times Roman"/>
          <w:sz w:val="16"/>
        </w:rPr>
        <w:tab/>
        <w:t>year.</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Year 1 is 1990; Year 2 is 1989, etc.).</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Year 15+ is the earned premium for all years prior</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to as well as the 15</w:t>
      </w:r>
      <w:r w:rsidRPr="00AD745B">
        <w:rPr>
          <w:rFonts w:ascii="Times Roman" w:hAnsi="Times Roman"/>
          <w:sz w:val="16"/>
          <w:vertAlign w:val="superscript"/>
        </w:rPr>
        <w:t>th</w:t>
      </w:r>
      <w:r>
        <w:rPr>
          <w:rFonts w:ascii="Times Roman" w:hAnsi="Times Roman"/>
          <w:sz w:val="16"/>
        </w:rPr>
        <w:t xml:space="preserve"> year prior to the current year.</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t>(o):</w:t>
      </w:r>
      <w:r>
        <w:rPr>
          <w:rFonts w:ascii="Times Roman" w:hAnsi="Times Roman"/>
          <w:sz w:val="16"/>
        </w:rPr>
        <w:tab/>
        <w:t>These loss ratios are not explicitly used in computing the</w:t>
      </w:r>
      <w:r>
        <w:rPr>
          <w:rFonts w:ascii="Times Roman" w:hAnsi="Times Roman"/>
          <w:sz w:val="16"/>
        </w:rPr>
        <w:tab/>
        <w:t>( p):</w:t>
      </w:r>
      <w:r>
        <w:rPr>
          <w:rFonts w:ascii="Times Roman" w:hAnsi="Times Roman"/>
          <w:sz w:val="16"/>
        </w:rPr>
        <w:tab/>
        <w:t>"SMSBP" = Standardized Medicare Supplement Benefit Plan.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benchmark loss ratios. They are the loss ratios, on</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a policy year basis, which result in the cumulative</w:t>
      </w:r>
      <w:r>
        <w:rPr>
          <w:rFonts w:ascii="Times Roman" w:hAnsi="Times Roman"/>
          <w:sz w:val="16"/>
        </w:rPr>
        <w:tab/>
      </w:r>
      <w:r>
        <w:rPr>
          <w:rFonts w:ascii="Times Roman" w:hAnsi="Times Roman"/>
          <w:sz w:val="16"/>
        </w:rPr>
        <w:tab/>
      </w:r>
      <w:r>
        <w:rPr>
          <w:rFonts w:ascii="Times Roman" w:hAnsi="Times Roman"/>
          <w:sz w:val="16"/>
        </w:rPr>
        <w:tab/>
        <w:t>(q):</w:t>
      </w:r>
      <w:r>
        <w:rPr>
          <w:rFonts w:ascii="Times Roman" w:hAnsi="Times Roman"/>
          <w:sz w:val="16"/>
        </w:rPr>
        <w:tab/>
        <w:t>Individual Group, Individual Medicare Select, or Group Medicare</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loss ratios displayed on this worksheet. They are shown</w:t>
      </w:r>
      <w:r>
        <w:rPr>
          <w:rFonts w:ascii="Times Roman" w:hAnsi="Times Roman"/>
          <w:sz w:val="16"/>
        </w:rPr>
        <w:tab/>
      </w:r>
      <w:r>
        <w:rPr>
          <w:rFonts w:ascii="Times Roman" w:hAnsi="Times Roman"/>
          <w:sz w:val="16"/>
        </w:rPr>
        <w:tab/>
      </w:r>
      <w:r>
        <w:rPr>
          <w:rFonts w:ascii="Times Roman" w:hAnsi="Times Roman"/>
          <w:sz w:val="16"/>
        </w:rPr>
        <w:tab/>
        <w:t>Select Only.</w:t>
      </w:r>
    </w:p>
    <w:p w:rsidR="00DA2FB0" w:rsidRDefault="00DA2FB0" w:rsidP="00B368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s>
        <w:rPr>
          <w:rFonts w:ascii="Times Roman" w:hAnsi="Times Roman"/>
          <w:sz w:val="16"/>
        </w:rPr>
      </w:pPr>
      <w:r>
        <w:rPr>
          <w:rFonts w:ascii="Times Roman" w:hAnsi="Times Roman"/>
          <w:sz w:val="16"/>
        </w:rPr>
        <w:tab/>
      </w:r>
      <w:r>
        <w:rPr>
          <w:rFonts w:ascii="Times Roman" w:hAnsi="Times Roman"/>
          <w:sz w:val="16"/>
        </w:rPr>
        <w:tab/>
        <w:t>here for informational purposes only.</w:t>
      </w:r>
    </w:p>
    <w:p w:rsidR="00DA2FB0" w:rsidRDefault="00DA2FB0" w:rsidP="00B36806"/>
    <w:p w:rsidR="00DA2FB0" w:rsidRPr="00BF5C61" w:rsidRDefault="00DA2FB0" w:rsidP="00B36806"/>
    <w:sectPr w:rsidR="00DA2FB0" w:rsidRPr="00BF5C61" w:rsidSect="0006326B">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26B"/>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1882"/>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46A"/>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0330"/>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37036"/>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45B"/>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3680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1580"/>
    <w:rsid w:val="00BF3B10"/>
    <w:rsid w:val="00BF489E"/>
    <w:rsid w:val="00BF5C61"/>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37C"/>
    <w:rsid w:val="00CC76F4"/>
    <w:rsid w:val="00CC7C41"/>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2FB0"/>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6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1451</Words>
  <Characters>8274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AND REGULATION</dc:title>
  <dc:subject/>
  <dc:creator>lrpr14533</dc:creator>
  <cp:keywords/>
  <dc:description/>
  <cp:lastModifiedBy>Pirnat, Marge</cp:lastModifiedBy>
  <cp:revision>5</cp:revision>
  <dcterms:created xsi:type="dcterms:W3CDTF">2009-02-08T17:08:00Z</dcterms:created>
  <dcterms:modified xsi:type="dcterms:W3CDTF">2013-02-19T19:57:00Z</dcterms:modified>
</cp:coreProperties>
</file>