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:16.  Waiver of coverage not allowed.</w:t>
      </w:r>
      <w:r>
        <w:rPr>
          <w:rFonts w:ascii="Times New Roman" w:hAnsi="Times New Roman"/>
          <w:sz w:val="24"/>
        </w:rPr>
        <w:t xml:space="preserve"> No Medicare supplement policy may use a waiver to exclude, limit, or reduce benefits for a specifically named or described preexisting sickness or physical condition.</w:t>
      </w:r>
    </w:p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>; 12 SDR 151, 12 SDR 155, effective July 1, 1986; 36 SDR 209, effective July 1, 2010.</w:t>
      </w:r>
    </w:p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0F53BB" w:rsidRDefault="000F53BB" w:rsidP="00452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F53BB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42"/>
    <w:rsid w:val="000F53BB"/>
    <w:rsid w:val="00452142"/>
    <w:rsid w:val="00993ACD"/>
    <w:rsid w:val="00B336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4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2010-07-19T21:46:00Z</dcterms:created>
  <dcterms:modified xsi:type="dcterms:W3CDTF">2010-07-19T21:46:00Z</dcterms:modified>
</cp:coreProperties>
</file>