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:24.  Disclosure of preexisting conditions.</w:t>
      </w:r>
      <w:r>
        <w:rPr>
          <w:rFonts w:ascii="Times New Roman" w:hAnsi="Times New Roman"/>
          <w:sz w:val="24"/>
        </w:rPr>
        <w:t xml:space="preserve"> A policy containing a preexisting condition limitation shall display the preexisting condition limitation as a separate paragraph labeled "Preexisting Condition Limitations."</w:t>
      </w:r>
    </w:p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16 SDR 174, effective </w:t>
      </w:r>
      <w:smartTag w:uri="urn:schemas-microsoft-com:office:smarttags" w:element="date">
        <w:smartTagPr>
          <w:attr w:name="Year" w:val="1990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1990</w:t>
        </w:r>
      </w:smartTag>
      <w:r>
        <w:rPr>
          <w:rFonts w:ascii="Times New Roman" w:hAnsi="Times New Roman"/>
          <w:sz w:val="24"/>
        </w:rPr>
        <w:t>.</w:t>
      </w:r>
    </w:p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A15053" w:rsidRDefault="00A15053" w:rsidP="002351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15053" w:rsidSect="00A15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35126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15053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2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2004-06-08T20:42:00Z</dcterms:created>
  <dcterms:modified xsi:type="dcterms:W3CDTF">2004-06-08T20:42:00Z</dcterms:modified>
</cp:coreProperties>
</file>