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A28891" Type="http://schemas.openxmlformats.org/officeDocument/2006/relationships/officeDocument" Target="/word/document.xml" /><Relationship Id="coreR72A288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20:06:18:03.  Continuing education requirements for licensees.</w:t>
      </w:r>
      <w:r>
        <w:t xml:space="preserve"> In each two-year period, a licensee shall fulfill the following continuing education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(1)  Licensees who hold a property casualty </w:t>
      </w:r>
      <w:r>
        <w:rPr>
          <w:lang w:val="en-US" w:bidi="en-US" w:eastAsia="en-US"/>
        </w:rPr>
        <w:t>line of author</w:t>
      </w:r>
      <w:r>
        <w:rPr>
          <w:lang w:val="en-US" w:bidi="en-US" w:eastAsia="en-US"/>
        </w:rPr>
        <w:t>ity</w:t>
      </w:r>
      <w:r>
        <w:t xml:space="preserve"> shall obtain at least ten CEC hours in courses certified as property/casualty;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(2)  Licensees who hold a life, variable contract, or health </w:t>
      </w:r>
      <w:r>
        <w:t>line of authority</w:t>
      </w:r>
      <w:r>
        <w:t xml:space="preserve"> shall obtain at least ten CEC hours in courses certified as life/health;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Licensees who hold only a crop hail </w:t>
      </w:r>
      <w:r>
        <w:t>line of authority</w:t>
      </w:r>
      <w:r>
        <w:t xml:space="preserve"> shall obtain at least four CEC hours in courses certified as crop hail;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(4)  Licensees who hold both property/casualty and life/health </w:t>
      </w:r>
      <w:r>
        <w:t>line</w:t>
      </w:r>
      <w:r>
        <w:rPr>
          <w:lang w:val="en-US" w:bidi="en-US" w:eastAsia="en-US"/>
        </w:rPr>
        <w:t>s</w:t>
      </w:r>
      <w:r>
        <w:t xml:space="preserve"> of authority</w:t>
      </w:r>
      <w:r>
        <w:t xml:space="preserve"> shall complete at least 20 CEC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(5)  Licensees who hold a crop hail </w:t>
      </w:r>
      <w:r>
        <w:t>line of authority</w:t>
      </w:r>
      <w:r>
        <w:t xml:space="preserve"> and only one of the </w:t>
      </w:r>
      <w:r>
        <w:t>line</w:t>
      </w:r>
      <w:r>
        <w:rPr>
          <w:lang w:val="en-US" w:bidi="en-US" w:eastAsia="en-US"/>
        </w:rPr>
        <w:t>s</w:t>
      </w:r>
      <w:r>
        <w:t xml:space="preserve"> of authority</w:t>
      </w:r>
      <w:r>
        <w:t xml:space="preserve"> contained in subdivisions (1) and (2) shall obtain at least ten CEC hours. Two CEC hours must be in certified crop hail courses and only two CEC hours in certified crop hail courses will count towards the required ten CEC hours. If the licensee holds more than two </w:t>
      </w:r>
      <w:r>
        <w:t>line</w:t>
      </w:r>
      <w:r>
        <w:rPr>
          <w:lang w:val="en-US" w:bidi="en-US" w:eastAsia="en-US"/>
        </w:rPr>
        <w:t>s</w:t>
      </w:r>
      <w:r>
        <w:t xml:space="preserve"> of authority</w:t>
      </w:r>
      <w:r>
        <w:t xml:space="preserve"> contained in subdivisions (1) and (2) including a crop hail </w:t>
      </w:r>
      <w:r>
        <w:t>line of authority</w:t>
      </w:r>
      <w:r>
        <w:t>, the licensee shall complete at least 20 CEC hours with two of these CEC hours in certified crop hail courses. Only two CEC hours in certified crop hail courses will count towards the required ten CEC hours as contained in subdivision (1).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12 SDR 106, effective December 30, 1985; 12 SDR 151, 12 SDR 155, effective July 1, 1986; 31 SDR 67, effective November 14, 2004; 34 SDR 200, effective January 28, 2008; 36 SDR 127, effective March 1, 2010; 36 SDR 127, adopted February 8, 2010, effective May 1, 2010</w:t>
      </w:r>
      <w:r>
        <w:rPr>
          <w:rFonts w:ascii="Times New Roman" w:hAnsi="Times New Roman"/>
          <w:sz w:val="24"/>
        </w:rPr>
        <w:t>; 45 SDR 45, effective October 10,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w:t>
      </w:r>
      <w:r>
        <w:t>58-30-117.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58-30-116, 58-30-117.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2010-02-23T18:55:00Z</dcterms:created>
  <cp:lastModifiedBy>Rhonda Purkapile</cp:lastModifiedBy>
  <dcterms:modified xsi:type="dcterms:W3CDTF">2018-10-02T20:04:31Z</dcterms:modified>
  <cp:revision>4</cp:revision>
</cp:coreProperties>
</file>