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:06.03.  Cost-of-living adjustments -- Continuation of benefit increases.</w:t>
      </w:r>
      <w:r>
        <w:rPr>
          <w:rFonts w:ascii="Times New Roman" w:hAnsi="Times New Roman"/>
          <w:sz w:val="24"/>
        </w:rPr>
        <w:t xml:space="preserve"> Inflation protection benefit increases under a policy which contains such benefits shall continue without regard to an insured's age, claim status, or claim history or the length of time the person has been insured under the policy.</w:t>
      </w:r>
    </w:p>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58-17B-13.1.</w:t>
      </w:r>
    </w:p>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58-17B-13.</w:t>
      </w:r>
    </w:p>
    <w:p w:rsidR="004401B6" w:rsidRDefault="004401B6" w:rsidP="004E35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401B6" w:rsidSect="004401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401B6"/>
    <w:rsid w:val="004E2C32"/>
    <w:rsid w:val="004E35C1"/>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65</Words>
  <Characters>374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2004-06-09T19:51:00Z</dcterms:created>
  <dcterms:modified xsi:type="dcterms:W3CDTF">2004-06-09T19:51:00Z</dcterms:modified>
</cp:coreProperties>
</file>