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67" w:rsidRDefault="00767067" w:rsidP="00C30C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:11.  Converted policy from group -- Time allowed for written application.</w:t>
      </w:r>
      <w:r>
        <w:rPr>
          <w:rFonts w:ascii="Times New Roman" w:hAnsi="Times New Roman"/>
          <w:sz w:val="24"/>
        </w:rPr>
        <w:t xml:space="preserve"> The individual, or someone acting on the individual's behalf, must apply for the converted policy in writing and must pay the first premium due, if any, as directed by the insurer not later than 31 days after termination of coverage under the group policy. The insurer shall issue the converted policy effective on the day following the termination of coverage under the group policy. The converted policy must be renewable annually.</w:t>
      </w:r>
    </w:p>
    <w:p w:rsidR="00767067" w:rsidRDefault="00767067" w:rsidP="00C30C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67067" w:rsidRDefault="00767067" w:rsidP="00C30C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767067" w:rsidRDefault="00767067" w:rsidP="00C30C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767067" w:rsidRDefault="00767067" w:rsidP="00C30C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58-17B-5.1.</w:t>
      </w:r>
    </w:p>
    <w:p w:rsidR="00767067" w:rsidRDefault="00767067" w:rsidP="00C30C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67067" w:rsidSect="007670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67067"/>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30CF0"/>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95</Words>
  <Characters>544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2004-06-09T19:53:00Z</dcterms:created>
  <dcterms:modified xsi:type="dcterms:W3CDTF">2004-06-09T19:53:00Z</dcterms:modified>
</cp:coreProperties>
</file>