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:12.  Converted policy from group -- Calculation of policy premium.</w:t>
      </w:r>
      <w:r>
        <w:rPr>
          <w:rFonts w:ascii="Times New Roman" w:hAnsi="Times New Roman"/>
          <w:sz w:val="24"/>
        </w:rPr>
        <w:t xml:space="preserve"> Unless the group policy from which conversion is made replaced previous group coverage, the premium for the converted policy shall be calculated on the basis of the insured's age at inception of coverage under the group policy from which conversion is made. If the group policy from which conversion is made replaced previous group coverage, the premium for the converted policy shall be calculated on the basis of the insured's age at inception of the insured's coverage under the previous group policy.</w:t>
      </w:r>
    </w:p>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2B3506" w:rsidRDefault="002B3506" w:rsidP="00954E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B3506" w:rsidSect="002B35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3506"/>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54E0F"/>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0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2004-06-09T19:53:00Z</dcterms:created>
  <dcterms:modified xsi:type="dcterms:W3CDTF">2004-06-09T19:53:00Z</dcterms:modified>
</cp:coreProperties>
</file>