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:27.  Outline of coverage.</w:t>
      </w:r>
      <w:r>
        <w:rPr>
          <w:rFonts w:ascii="Times New Roman" w:hAnsi="Times New Roman"/>
          <w:sz w:val="24"/>
        </w:rPr>
        <w:t xml:space="preserve"> Insurers shall include the following information in or with the outline of coverage:</w:t>
      </w: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graphic comparison of the benefit levels of a policy that increases benefits over the policy period with a policy that does not increase benefits. The graphic comparison must show benefit levels over at least a 20-year period; and</w:t>
      </w: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Any expected premium increases or additional premiums to pay for automatic or optional benefit increases.</w:t>
      </w: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 insurer may use a reasonable hypothetical or a graphic demonstration for the purposes of this disclosure.</w:t>
      </w: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58-17B-10.</w:t>
      </w:r>
    </w:p>
    <w:p w:rsidR="00AB6007" w:rsidRDefault="00AB6007" w:rsidP="00EB65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B6007" w:rsidSect="00AB6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B6007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B6539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2004-06-09T19:57:00Z</dcterms:created>
  <dcterms:modified xsi:type="dcterms:W3CDTF">2004-06-09T19:57:00Z</dcterms:modified>
</cp:coreProperties>
</file>