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:28.  Outline of coverage -- Standard format.</w:t>
      </w:r>
      <w:r>
        <w:rPr>
          <w:rFonts w:ascii="Times New Roman" w:hAnsi="Times New Roman"/>
          <w:sz w:val="24"/>
        </w:rPr>
        <w:t xml:space="preserve"> The outline of coverage shall be a freestanding document, using no smaller than ten-point type. Text that is capitalized or underscored in the standard format outline or coverage may be emphasized by other means that provide prominence equivalent to the capitalization or underscoring. Use of the text and sequence of text of the standard format outline of coverage is mandatory, unless otherwise specifically indicated. The outline of coverage shall contain no material of an advertising nature. The standard format for an outline of coverage complying with SDCL 58-17B-10 is as follows:</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Company name;</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Address - city and state.</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Telephone number;</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Designate the product as long-term care insurance;</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Outline of coverage; and</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Policy number or group master policy and certificate number.</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for policies or certificates which are guaranteed issue, a caution statement as set forth in Appendix A at the end of this chapter, or language substantially similar, must appear in the outline of coverage.</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58-17B-10.</w:t>
      </w:r>
    </w:p>
    <w:p w:rsidR="008F58B3" w:rsidRDefault="008F58B3" w:rsidP="009937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F58B3" w:rsidSect="008F58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8F58B3"/>
    <w:rsid w:val="00914265"/>
    <w:rsid w:val="0099371E"/>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1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186</Words>
  <Characters>1062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2004-06-09T19:57:00Z</dcterms:created>
  <dcterms:modified xsi:type="dcterms:W3CDTF">2004-06-09T19:57:00Z</dcterms:modified>
</cp:coreProperties>
</file>