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:70.  Premium rate schedule increases -- Exceptional increases.</w:t>
      </w:r>
      <w:r>
        <w:rPr>
          <w:rFonts w:ascii="Times New Roman" w:hAnsi="Times New Roman"/>
          <w:sz w:val="24"/>
        </w:rPr>
        <w:t xml:space="preserve"> Except as provided in §§ 20:06:21:63 to 20:06:21:69, inclusive, exceptional increases are subject to the same requirements as other premium rate schedule increases.</w:t>
      </w: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director may request a review by an independent actuary or a professional actuarial body of the basis for a request that an increase be considered an exceptional increase.</w:t>
      </w: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director, in determining that the necessary basis for an exceptional increase exists, shall also determine any potential offsets to higher claims costs.</w:t>
      </w: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>.</w:t>
      </w: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753A9F" w:rsidRDefault="00753A9F" w:rsidP="00086B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3A9F" w:rsidSect="00753A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86B8A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3A9F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8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2004-06-09T20:14:00Z</dcterms:created>
  <dcterms:modified xsi:type="dcterms:W3CDTF">2004-06-09T20:14:00Z</dcterms:modified>
</cp:coreProperties>
</file>