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:21.  Subsequent plans.</w:t>
      </w:r>
      <w:r>
        <w:rPr>
          <w:rFonts w:ascii="Times New Roman" w:hAnsi="Times New Roman"/>
          <w:sz w:val="24"/>
        </w:rPr>
        <w:t xml:space="preserve"> After the first 10-year plan has been filed, subsequent biennial plans may refer to and incorporate relevant portions of any prior plan, with additions, deletions, and modifications. Changes in subsequent plans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clearly cross-referenced to prior reports.</w:t>
      </w:r>
    </w:p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49-41B-3, 49-41B-35.</w:t>
      </w:r>
    </w:p>
    <w:p w:rsidR="00FF3E53" w:rsidRDefault="00FF3E53" w:rsidP="001863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3E53" w:rsidSect="00FF3E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86397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2004-06-21T17:04:00Z</dcterms:created>
  <dcterms:modified xsi:type="dcterms:W3CDTF">2004-06-21T17:04:00Z</dcterms:modified>
</cp:coreProperties>
</file>