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20:14:04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TRANSACTIONS REQUIRING QUALIFIED APPRAISERS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20:14:04:01</w:t>
        <w:tab/>
        <w:tab/>
        <w:t>Federally related transactions.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20:14:04:02</w:t>
        <w:tab/>
        <w:tab/>
        <w:t>Real estate-related transactions.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20:14:04:03</w:t>
        <w:tab/>
        <w:tab/>
        <w:t>Transaction value.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20:14:04:04</w:t>
        <w:tab/>
        <w:tab/>
        <w:t>Appraisal not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20:14:04:05</w:t>
        <w:tab/>
        <w:tab/>
        <w:t>Threshold levels.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20:14:04:06</w:t>
        <w:tab/>
        <w:tab/>
        <w:t>Appraisal by state-certified general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20:14:04:06.01</w:t>
        <w:tab/>
        <w:t>Appraisal by state-certified residential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20:14:04:07</w:t>
        <w:tab/>
        <w:tab/>
        <w:t>Appraisal by state-licensed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20:14:04:08</w:t>
        <w:tab/>
        <w:tab/>
        <w:t>Presumption that one- to four-family residential properties are not complex.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20:14:04:09</w:t>
        <w:tab/>
        <w:tab/>
        <w:t>Final determination of complexity.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20:14:04:10</w:t>
        <w:tab/>
        <w:tab/>
        <w:t>Appraisal by either a state-certified general, state-certified residential, or state-licensed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Appraisal by state-registered appraiser,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Assistance by registered trainee appraiser in preparation of appraisal 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20:14:04:12.01</w:t>
        <w:tab/>
      </w:r>
      <w:r>
        <w:rPr>
          <w:rFonts w:ascii="Times New Roman" w:hAnsi="Times New Roman"/>
          <w:sz w:val="24"/>
          <w:lang w:val="en-US" w:bidi="en-US" w:eastAsia="en-US"/>
        </w:rPr>
        <w:t>Registration of supervisory appraiser by registered trainee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20:14:04:12.02</w:t>
        <w:tab/>
      </w:r>
      <w:r>
        <w:rPr>
          <w:rFonts w:ascii="Times New Roman" w:hAnsi="Times New Roman"/>
          <w:sz w:val="24"/>
          <w:lang w:val="en-US" w:bidi="en-US" w:eastAsia="en-US"/>
        </w:rPr>
        <w:t>Responsibility of a registered trainee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20:14:04:13</w:t>
        <w:tab/>
        <w:tab/>
        <w:t>Supervisory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20:14:04:14</w:t>
        <w:tab/>
        <w:tab/>
        <w:t>Requirements of a supervisory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20:14:04:15</w:t>
        <w:tab/>
        <w:tab/>
        <w:t>Application for supervisory appraiser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20:14:04:16</w:t>
        <w:tab/>
        <w:tab/>
        <w:t>Supervisory appraiser approval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20:14:04:16.01</w:t>
        <w:tab/>
        <w:t>Supervisory appraiser late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20:14:04:17</w:t>
        <w:tab/>
        <w:tab/>
        <w:t>Responsibilities of supervisory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2012-06-15T14:29:00Z</dcterms:created>
  <cp:lastModifiedBy>Kelly Thompson</cp:lastModifiedBy>
  <dcterms:modified xsi:type="dcterms:W3CDTF">2023-08-28T20:43:45Z</dcterms:modified>
  <cp:revision>9</cp:revision>
</cp:coreProperties>
</file>