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2E" w:rsidRPr="006C5262" w:rsidRDefault="000E592E" w:rsidP="00D86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20:38:33:04.  Renewal fees.</w:t>
      </w:r>
      <w:r w:rsidRPr="006C5262">
        <w:t xml:space="preserve"> Renewal fees are as follows:</w:t>
      </w:r>
    </w:p>
    <w:p w:rsidR="000E592E" w:rsidRDefault="000E592E" w:rsidP="00D86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E592E" w:rsidRDefault="000E592E" w:rsidP="00D86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Individual license, active status, $80 biennially;</w:t>
      </w:r>
    </w:p>
    <w:p w:rsidR="000E592E" w:rsidRDefault="000E592E" w:rsidP="00D86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Individual license, inactive status, $40 biennially;</w:t>
      </w:r>
    </w:p>
    <w:p w:rsidR="000E592E" w:rsidRDefault="000E592E" w:rsidP="00D86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Individual license, retired status, $10 biennially; and</w:t>
      </w:r>
    </w:p>
    <w:p w:rsidR="000E592E" w:rsidRDefault="000E592E" w:rsidP="00D86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Business entity license, $80 biennially.</w:t>
      </w:r>
    </w:p>
    <w:p w:rsidR="000E592E" w:rsidRDefault="000E592E" w:rsidP="00D86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E592E" w:rsidRDefault="000E592E" w:rsidP="00D86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26 SDR 9, effective July 29, 1999; 29 SDR 95, effective January 6, 2003; 33 SDR 70, effective June 20, 2006; 34 SDR 107, effective October 31, 2007; transferred from § 20:38:19:05, 38 SDR 121, effective January 16, 2012.</w:t>
      </w:r>
    </w:p>
    <w:p w:rsidR="000E592E" w:rsidRDefault="000E592E" w:rsidP="00D86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36-18A-22(2), 36-18A-39, 36-18A-42, 36-18A-50.</w:t>
      </w:r>
    </w:p>
    <w:p w:rsidR="000E592E" w:rsidRDefault="000E592E" w:rsidP="00D86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36-18A-39, 36-18A-42, 36-18A-50, 36-18A-52.</w:t>
      </w:r>
    </w:p>
    <w:p w:rsidR="000E592E" w:rsidRDefault="000E592E" w:rsidP="00D86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E592E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166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E592E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2079B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C5262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86166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6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97</Words>
  <Characters>558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Pirnat, Marge</cp:lastModifiedBy>
  <cp:revision>2</cp:revision>
  <cp:lastPrinted>2014-04-03T19:41:00Z</cp:lastPrinted>
  <dcterms:created xsi:type="dcterms:W3CDTF">2012-02-03T15:12:00Z</dcterms:created>
  <dcterms:modified xsi:type="dcterms:W3CDTF">2014-04-03T19:41:00Z</dcterms:modified>
</cp:coreProperties>
</file>