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0D93EC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20:48:07:29.  Practical nurse education curriculum.</w:t>
      </w:r>
      <w:r>
        <w:rPr>
          <w:rFonts w:ascii="Times New Roman" w:hAnsi="Times New Roman"/>
          <w:sz w:val="24"/>
        </w:rPr>
        <w:t xml:space="preserve"> The curriculum for programs preparing for practical nurse licensure shall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Concepts in biological and physical sciences: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Anatomy and physiology;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Microbiology;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Nutrition;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(d)  Pharmacology;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Concepts in behavioral science: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Interpersonal relations;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Communication;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Patient-centered culturally competent care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(d)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Interprofessional communication and collaboration;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Nursing theory and clinical instruction of basic nursing concepts to enable the student to develop competence at the entry level as a practical nurse in each of the following areas: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Adult health nursing;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Maternal child health nursing;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Geriatric nursing;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(d)  Basic concepts of clinical judgment (</w:t>
      </w:r>
      <w:r>
        <w:rPr>
          <w:rFonts w:ascii="Times New Roman" w:hAnsi="Times New Roman"/>
          <w:sz w:val="24"/>
        </w:rPr>
        <w:t>the nursing process)</w:t>
      </w:r>
      <w:r>
        <w:rPr>
          <w:rFonts w:ascii="Times New Roman" w:hAnsi="Times New Roman"/>
          <w:sz w:val="24"/>
          <w:lang w:val="en-US" w:bidi="en-US" w:eastAsia="en-US"/>
        </w:rPr>
        <w:t xml:space="preserve"> and professional responsibilities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(e)  Scope of practice for LPNs;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(f)  Legal and ethical basis of nursing practice;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(g)  Nursing history;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(h)  Trends in nursing and healthcare delivery;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Knowledge of technology used in nursing practice and special health care problems.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107, effective December 30, 1991; 31 SDR 26, effective September 8, 2004; 45 SDR 9, effective July 30, 2018.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36-9-58.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