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20:50:08:02.02.  Limits on self-directed learning for continuing pharmaceutical education.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</w:t>
      </w:r>
      <w:r>
        <w:rPr>
          <w:rFonts w:ascii="Times New Roman" w:hAnsi="Times New Roman"/>
          <w:sz w:val="24"/>
          <w:lang w:val="en-US" w:bidi="en-US" w:eastAsia="en-US"/>
        </w:rPr>
        <w:t>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24 SDR 91, effective January 6, 1998; 31 SDR 101, effective January 19, 2005; 37 SDR 133, effective January 18, 2011</w:t>
      </w:r>
      <w:r>
        <w:rPr>
          <w:rFonts w:ascii="Times New Roman" w:hAnsi="Times New Roman"/>
          <w:sz w:val="24"/>
          <w:lang w:val="en-US" w:bidi="en-US" w:eastAsia="en-US"/>
        </w:rPr>
        <w:t>; 49 SDR 12, effective August 14,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2011-01-23T17:11:00Z</dcterms:created>
  <cp:lastModifiedBy>Kelly Thompson</cp:lastModifiedBy>
  <dcterms:modified xsi:type="dcterms:W3CDTF">2022-08-08T19:34:48Z</dcterms:modified>
  <cp:revision>3</cp:revision>
</cp:coreProperties>
</file>