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1BA897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CHAPTER 20:57:02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LICENSURE REQUIREMENTS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20:57:02:01</w:t>
        <w:tab/>
        <w:tab/>
      </w:r>
      <w:r>
        <w:rPr>
          <w:rFonts w:ascii="Times New Roman" w:hAnsi="Times New Roman"/>
          <w:sz w:val="24"/>
        </w:rPr>
        <w:t>Application for license.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20:57:02:03</w:t>
        <w:tab/>
        <w:tab/>
      </w:r>
      <w:r>
        <w:rPr>
          <w:rFonts w:ascii="Times New Roman" w:hAnsi="Times New Roman"/>
          <w:sz w:val="24"/>
        </w:rPr>
        <w:t>General application requirements.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20:57:02:04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20:57:</w:t>
      </w:r>
      <w:r>
        <w:rPr>
          <w:rFonts w:ascii="Times New Roman" w:hAnsi="Times New Roman"/>
          <w:sz w:val="24"/>
          <w:lang w:val="en-US" w:bidi="en-US" w:eastAsia="en-US"/>
        </w:rPr>
        <w:t>02:05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20:57:0</w:t>
      </w:r>
      <w:r>
        <w:rPr>
          <w:rFonts w:ascii="Times New Roman" w:hAnsi="Times New Roman"/>
          <w:sz w:val="24"/>
          <w:lang w:val="en-US" w:bidi="en-US" w:eastAsia="en-US"/>
        </w:rPr>
        <w:t>2:06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20:57:02:08</w:t>
        <w:tab/>
        <w:tab/>
      </w:r>
      <w:r>
        <w:rPr>
          <w:rFonts w:ascii="Times New Roman" w:hAnsi="Times New Roman"/>
          <w:sz w:val="24"/>
        </w:rPr>
        <w:t>Licensure requirements for graduates of accredited schools.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20:57:02:09</w:t>
        <w:tab/>
        <w:tab/>
      </w:r>
      <w:r>
        <w:rPr>
          <w:rFonts w:ascii="Times New Roman" w:hAnsi="Times New Roman"/>
          <w:sz w:val="24"/>
        </w:rPr>
        <w:t>Licensure requirements for graduates of nonaccredited foreign schools.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20:57:02:10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20:57:02:11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20:57:02:12</w:t>
        <w:tab/>
        <w:tab/>
      </w:r>
      <w:r>
        <w:rPr>
          <w:rFonts w:ascii="Times New Roman" w:hAnsi="Times New Roman"/>
          <w:sz w:val="24"/>
        </w:rPr>
        <w:t>Annual renewal, registration on a biennial basis.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widowControl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rFonts w:ascii="Times New Roman" w:hAnsi="Times New Roman"/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