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 w:val="1"/>
          <w:sz w:val="24"/>
          <w:szCs w:val="20"/>
        </w:rPr>
        <w:t xml:space="preserve">20:69:11:04.  Requirements </w:t>
      </w:r>
      <w:r>
        <w:rPr>
          <w:rFonts w:ascii="Times New Roman" w:hAnsi="Times New Roman"/>
          <w:b w:val="1"/>
          <w:sz w:val="24"/>
          <w:szCs w:val="20"/>
          <w:lang w:val="en-US" w:bidi="en-US" w:eastAsia="en-US"/>
        </w:rPr>
        <w:t xml:space="preserve">for inactive licensee </w:t>
      </w:r>
      <w:r>
        <w:rPr>
          <w:rFonts w:ascii="Times New Roman" w:hAnsi="Times New Roman"/>
          <w:b w:val="1"/>
          <w:sz w:val="24"/>
          <w:szCs w:val="20"/>
        </w:rPr>
        <w:t>-- Exceptions.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An inactive licensee is not required to meet the </w:t>
      </w:r>
      <w:r>
        <w:rPr>
          <w:rFonts w:ascii="Times New Roman" w:hAnsi="Times New Roman"/>
          <w:sz w:val="24"/>
          <w:szCs w:val="20"/>
          <w:lang w:val="en-US" w:bidi="en-US" w:eastAsia="en-US"/>
        </w:rPr>
        <w:t xml:space="preserve">continuing education </w:t>
      </w:r>
      <w:r>
        <w:rPr>
          <w:rFonts w:ascii="Times New Roman" w:hAnsi="Times New Roman"/>
          <w:sz w:val="24"/>
          <w:szCs w:val="20"/>
        </w:rPr>
        <w:t xml:space="preserve">requirements. An inactive licensee who wishes to activate the individual's license 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shall</w:t>
      </w:r>
      <w:r>
        <w:rPr>
          <w:rFonts w:ascii="Times New Roman" w:hAnsi="Times New Roman"/>
          <w:sz w:val="24"/>
          <w:szCs w:val="20"/>
        </w:rPr>
        <w:t xml:space="preserve"> complete 24 hours of continuing education within the licensee's current licensing period or within two years preceding the licensee's current licensing period. A licensee whose license is placed on inactive status during either of the first two license cycles after initial licensure 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shall</w:t>
      </w:r>
      <w:r>
        <w:rPr>
          <w:rFonts w:ascii="Times New Roman" w:hAnsi="Times New Roman"/>
          <w:sz w:val="24"/>
          <w:szCs w:val="20"/>
        </w:rPr>
        <w:t xml:space="preserve"> complete the postlicensing education required during that cycle to activate the license. Courses taken to activate a license may not be used to renew a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 w:val="1"/>
          <w:sz w:val="24"/>
          <w:szCs w:val="20"/>
        </w:rPr>
        <w:t>Source:</w:t>
      </w:r>
      <w:r>
        <w:rPr>
          <w:rFonts w:ascii="Times New Roman" w:hAnsi="Times New Roman"/>
          <w:sz w:val="24"/>
          <w:szCs w:val="20"/>
        </w:rPr>
        <w:t xml:space="preserve"> 5 SDR 12, effective August 21, 1978; 10 SDR 54, effective December 5, 1983; 12 SDR 102, effective December 22, 1985; 12 SDR 151, 12 SDR 155, effective July 1, 1986; transferred from § 20:56:19:04, 20 SDR 18, effective August 16, 1993; 35 SDR 305, effective July 1, 2009; 37 SDR 112, effective December 8, 2010; 41 SDR 219, effective July 1, 2015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; 48 SDR 60, effective December 6, 2021</w:t>
      </w:r>
      <w:r>
        <w:rPr>
          <w:rFonts w:ascii="Times New Roman" w:hAnsi="Times New Roman"/>
          <w:sz w:val="24"/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 w:val="1"/>
          <w:sz w:val="24"/>
          <w:szCs w:val="20"/>
        </w:rPr>
        <w:t>General Authority:</w:t>
      </w:r>
      <w:r>
        <w:rPr>
          <w:rFonts w:ascii="Times New Roman" w:hAnsi="Times New Roman"/>
          <w:sz w:val="24"/>
          <w:szCs w:val="20"/>
        </w:rPr>
        <w:t xml:space="preserve"> SDCL 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36-21A-89(7)</w:t>
      </w:r>
      <w:r>
        <w:rPr>
          <w:rFonts w:ascii="Times New Roman" w:hAnsi="Times New Roman"/>
          <w:sz w:val="24"/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 w:val="1"/>
          <w:sz w:val="24"/>
          <w:szCs w:val="20"/>
        </w:rPr>
        <w:t>Law Implemented:</w:t>
      </w:r>
      <w:r>
        <w:rPr>
          <w:rFonts w:ascii="Times New Roman" w:hAnsi="Times New Roman"/>
          <w:sz w:val="24"/>
          <w:szCs w:val="20"/>
        </w:rPr>
        <w:t xml:space="preserve"> SDCL 36-21A-65.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2015-06-24T18:57:00Z</dcterms:created>
  <cp:lastModifiedBy>Kelly Thompson</cp:lastModifiedBy>
  <dcterms:modified xsi:type="dcterms:W3CDTF">2021-11-30T14:56:53Z</dcterms:modified>
  <cp:revision>3</cp:revision>
</cp:coreProperties>
</file>