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D49B8"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20:78:04:02.  Complaints.</w:t>
      </w:r>
      <w:r>
        <w:t xml:space="preserve"> The executive secretary may initiate an investigation based on a written complaint. Any person filing a complaint shall submit the complaint in writing to the executive secretary. A complaint is not a public record. The executive secretary shall dismiss any complaint that concerns matters over which the board does not have jurisdiction, and shall notify the complainant of that action. The executive secretary may also initiate an investigation upon reasonable suspicion that a licensee is in violation of any applicable standard for professional conduct.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127, effective February 7, 2012</w:t>
      </w:r>
      <w:r>
        <w:rPr>
          <w:rFonts w:ascii="Times New Roman" w:hAnsi="Times New Roman"/>
          <w:sz w:val="24"/>
        </w:rPr>
        <w:t>; 43 SDR 57, effective October 20,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36-4-35, 36-4A-42, 36-4B-35,</w:t>
      </w:r>
      <w:r>
        <w:rPr>
          <w:lang w:val="en-US" w:bidi="en-US" w:eastAsia="en-US"/>
        </w:rPr>
        <w:t xml:space="preserve"> 36-9B-7,</w:t>
      </w:r>
      <w:r>
        <w:t xml:space="preserve"> 36-10-36, 36-10B-3,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36-4-27, 36-4-28, 36-4-29, 36-4-30, 36-4-32, 36-4A-37, 36-4A-38, 36-4A-39, 36-4A-40, 36-4B-28, 36-4B-31, 36-4B-32, 36-4B-33,</w:t>
      </w:r>
      <w:r>
        <w:rPr>
          <w:lang w:val="en-US" w:bidi="en-US" w:eastAsia="en-US"/>
        </w:rPr>
        <w:t xml:space="preserve"> 36-9B-8,</w:t>
      </w:r>
      <w:r>
        <w:t xml:space="preserve"> 36-10-38, 36-10-39, 36-10-40, 36-10-41, 36-10-44, 36-10-45, 36-10-46, 36-10-49, 36-10B-13, 36-10B-14, 36-29-18, 36-29-19, 36-29-20, 36-29-21, 36-29-22, 36-29-25, 36-29-26, 36-29-27, 36-31-14, 36-31-15, 36-31-16, 36-31-17, 36-31-18, 36-31-21, 36-31-22, 36-36-6, 36-36-13.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