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436145">
        <w:rPr>
          <w:b/>
        </w:rPr>
        <w:t>20:79:06:02.  Determination of appropriate disciplinary action.</w:t>
      </w:r>
      <w:r>
        <w:t xml:space="preserve"> The board will determine the appropriate disciplinary action according to the following factors: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Seriousness of the violation, including the harm caused or the risk posed to the health and welfare of the person or public;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Previous compliance history;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The severity level necessary to deter future violations;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(4)  Efforts to correct or mitigate the previous violation; and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(5)  Any other circumstances determined by the board.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E1A48" w:rsidRPr="004822FB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DE1A48" w:rsidRPr="004822FB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DE1A48" w:rsidRPr="004822FB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</w:t>
      </w:r>
      <w:r>
        <w:t>, 36-37-21, 36-37-22, 36-37-23, 36-37-24, 36-37-25</w:t>
      </w:r>
    </w:p>
    <w:p w:rsidR="00DE1A48" w:rsidRDefault="00DE1A48" w:rsidP="000E7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E1A4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833"/>
    <w:rsid w:val="00086AE4"/>
    <w:rsid w:val="000E7833"/>
    <w:rsid w:val="00436145"/>
    <w:rsid w:val="00477B21"/>
    <w:rsid w:val="004822FB"/>
    <w:rsid w:val="008B09BA"/>
    <w:rsid w:val="00977549"/>
    <w:rsid w:val="009B13CF"/>
    <w:rsid w:val="00BD2079"/>
    <w:rsid w:val="00DE1A48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2013-07-02T15:04:00Z</dcterms:created>
  <dcterms:modified xsi:type="dcterms:W3CDTF">2013-07-02T15:05:00Z</dcterms:modified>
</cp:coreProperties>
</file>