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5D4F84">
        <w:rPr>
          <w:b/>
        </w:rPr>
        <w:t>20:81:01:02.  General applicability.</w:t>
      </w:r>
      <w:r>
        <w:t xml:space="preserve"> The provisions of this Article pertain to all boxing, kickboxing, and mixed martial arts contestants, bouts, and contests unless expressly noted otherwise.</w:t>
      </w:r>
    </w:p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4E0C3F" w:rsidRDefault="004E0C3F" w:rsidP="005620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E0C3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60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0C3F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060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4F84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2014-07-25T15:08:00Z</dcterms:created>
  <dcterms:modified xsi:type="dcterms:W3CDTF">2014-07-25T15:08:00Z</dcterms:modified>
</cp:coreProperties>
</file>