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D77EB7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20:81:01:08.  Financial interests and arrangements.</w:t>
      </w:r>
      <w:r>
        <w:t xml:space="preserve"> No promoter, either directly or indirectly, may have any financial interest in a contestant competing on premises owned or leased by the promoter, or in which such promoter is otherwise interested, except pursuant to the specific written authorization of the Commission.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The promoter or the promoter's designee shall pay all payments to the contestant immediately following the contest</w:t>
      </w:r>
      <w:r>
        <w:rPr>
          <w:lang w:val="en-US" w:bidi="en-US" w:eastAsia="en-US"/>
        </w:rPr>
        <w:t xml:space="preserve"> or as approved by the Commission</w:t>
      </w:r>
      <w:r>
        <w:t>. A contestant may not be paid for services before the contest. If the Commission determines that a contestant did not fight an honest contest of the contestant's skill, the contestant may not be paid for such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41 SDR 7, effective July 28, 2014</w:t>
      </w:r>
      <w:r>
        <w:t>; 44 SDR 102, effective December 18, 2017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42-12-10.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42-12-10.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