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24:05:19:05.01  Exception to maintenance of effort.</w:t>
      </w:r>
      <w:r>
        <w:rPr>
          <w:rFonts w:ascii="Times New Roman" w:hAnsi="Times New Roman"/>
          <w:sz w:val="24"/>
        </w:rPr>
        <w:t xml:space="preserve"> Notwithstanding the restrictions in § 24:05:19:05, a school district may reduce the level of expenditures by the district under Part B of the Individuals with Disabilities Education Act below the level of those expenditures for the preceding fiscal year if the reduction is attributable to: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voluntary departure, by retirement or otherwise, or departure for just cause, of special education or related services personnel;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decrease in the enrollment of students with disabilities;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termination of the obligation of the district, consistent with this chapter, to provide a program of special education to a particular student with a disability that is an exceptionally costly program as determined by the state, because the student: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Has left the jurisdiction of the district;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Has reached the age at which the obligation of the district to provide a free appropriate public education to the student has terminated; or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No longer needs the program of special education;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termination of costly expenditures for long-term purchases such as the acquisition of equipment or the construction of school facilities; or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assumption of cost by the extraordinary costs fund operated by the department under chapter 24:05:33.01.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F2333" w:rsidRDefault="004F2333" w:rsidP="003E50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2333" w:rsidSect="004F2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50CC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2333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2007-07-03T13:55:00Z</dcterms:created>
  <dcterms:modified xsi:type="dcterms:W3CDTF">2007-07-03T13:55:00Z</dcterms:modified>
</cp:coreProperties>
</file>