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24:05:19:08.  Valid obligations enforceable.</w:t>
      </w:r>
      <w:r>
        <w:rPr>
          <w:rFonts w:ascii="Times New Roman" w:hAnsi="Times New Roman"/>
          <w:sz w:val="24"/>
        </w:rPr>
        <w:t xml:space="preserve"> Nothing in this article relieves an insurer or a similar third party from an otherwise valid obligation to provide or pay for services provided to a child with disabilities.</w:t>
      </w: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Consistent with the IEP requirements in this article regarding the provision of services in a timely manner, the department shall ensure that there is no delay in implementing a child's IEP, including any case in which the payment source for providing or paying for special education and related services to the child is being determined.</w:t>
      </w: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placement in an approved public or private residential program is necessary to provide special education and related services to a child with disabilities, the program, including nonmedical care and room and board, must be provided at no cost to the parent of the child.</w:t>
      </w: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664EE" w:rsidRDefault="004664EE" w:rsidP="00EE53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64EE" w:rsidSect="00466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64EE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302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159</Words>
  <Characters>911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2007-07-01T20:51:00Z</dcterms:created>
  <dcterms:modified xsi:type="dcterms:W3CDTF">2007-07-01T20:52:00Z</dcterms:modified>
</cp:coreProperties>
</file>