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24:05:24.01:14.  Other health impaired defined.</w:t>
      </w:r>
      <w:r>
        <w:t xml:space="preserve"> Other health impaired means having limited strength, vitality, or alertness, including a heightened alertness to environmental stimuli that results in limited alertness with respect to the educational environment, because of a chronic or acute health problem, such as a heart condition, tuberculosis, rheumatic fever, nephritis, asthma, attention deficit disorder or attention deficit hyperactivity disorder, sickle cell anemia, hemophilia, epilepsy, lead poisoning, leukemia, Tourette syndrome, or diabetes, that adversely affects a student's educational performance.</w:t>
      </w: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Adverse effects in educational performance must be verified through the full and individual evaluation procedures as provided in § 24:05:25:04.</w:t>
      </w: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t>September 8, 1996</w:t>
        </w:r>
      </w:smartTag>
      <w: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t>May 22, 2000</w:t>
        </w:r>
      </w:smartTag>
      <w:r>
        <w:t>; 33 SDR 236, effective July 5, 2007; 36 SDR 96, effective December 8, 2009.</w:t>
      </w: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252F07" w:rsidRDefault="00252F07" w:rsidP="005440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52F07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07C"/>
    <w:rsid w:val="00252F07"/>
    <w:rsid w:val="0054407C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2009-11-30T15:03:00Z</dcterms:created>
  <dcterms:modified xsi:type="dcterms:W3CDTF">2009-11-30T15:03:00Z</dcterms:modified>
</cp:coreProperties>
</file>