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24:05:25:26.  Extended school year authorized.</w:t>
      </w:r>
      <w:r>
        <w:rPr>
          <w:rFonts w:ascii="Times New Roman" w:hAnsi="Times New Roman"/>
          <w:sz w:val="24"/>
        </w:rPr>
        <w:t xml:space="preserve"> The district shall provide extended school year services to eligible children if the IEP team determines on an individual basis that such services are necessary for the provision of FAPE.</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IEP pursuant to chapter 24:05:27 shall be developed and implemented by the IEP team that addresses the need for extended school year services. The IEP team shall determine the length of the school day and duration of extended school year services based on the individual child's needs.</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implementing the requirements of this section, a district may not:</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Limit extended school year services to particular categories of disability;</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Unilaterally limit the type, amount, or duration of those services; or</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Apply a regression/recoupment criterion to children in need of prolonged assistance.</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As used in this section, the term, extended school year services, means special education and related services that meet the standards of the state and are provided to a student with a disability beyond the normal school year of the district, in accordance with the student's IEP and at no cost to the parents of the student.</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 33 SDR 236, effective July 5, 2007.</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B7057" w:rsidRDefault="00AB7057" w:rsidP="00050B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B7057" w:rsidSect="00AB70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0BC2"/>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7057"/>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C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216</Words>
  <Characters>1235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2007-07-03T18:42:00Z</dcterms:created>
  <dcterms:modified xsi:type="dcterms:W3CDTF">2007-07-03T18:42:00Z</dcterms:modified>
</cp:coreProperties>
</file>