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24:05:27:20.  Availability of assistive technology.</w:t>
      </w:r>
      <w:r>
        <w:rPr>
          <w:rFonts w:ascii="Times New Roman" w:hAnsi="Times New Roman"/>
          <w:sz w:val="24"/>
        </w:rPr>
        <w:t xml:space="preserve"> Each school district shall ensure that assistive technology devices or assistive technology services, or both, are made available to a child with a disability if they are required as a part of the child's special education or related services or as supplementary aids and services.</w:t>
      </w: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On a case-by-case basis, the use of school-purchased assistive technology devices in a child's home or in other settings is required if the student's placement committee determines that the child needs access to those devices in order to receive FAPE.</w:t>
      </w: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September 8, 1993; 23 SDR 31, effective September 8, 1996; 26 SDR 150, effective May 22, 2000; 33 SDR 236, effective July 5, 2007.</w:t>
      </w: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C0704" w:rsidRDefault="003C0704" w:rsidP="007375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0704" w:rsidSect="003C0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0704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51C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1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122</Words>
  <Characters>700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2007-07-04T15:54:00Z</dcterms:created>
  <dcterms:modified xsi:type="dcterms:W3CDTF">2007-07-04T15:54:00Z</dcterms:modified>
</cp:coreProperties>
</file>