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B0C7F">
        <w:rPr>
          <w:rFonts w:ascii="Times New Roman" w:hAnsi="Times New Roman"/>
          <w:b/>
          <w:sz w:val="24"/>
        </w:rPr>
        <w:t>24:05:30:08.15.  Written settlement agreement.</w:t>
      </w:r>
      <w:r>
        <w:rPr>
          <w:rFonts w:ascii="Times New Roman" w:hAnsi="Times New Roman"/>
          <w:sz w:val="24"/>
        </w:rPr>
        <w:t xml:space="preserve"> If a resolution to the dispute is reached at the meeting described in §§ 24:05:30:08.09 and 24:05:30:08.10, the parties shall execute a legally binding agreement that is:</w:t>
      </w: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Signed by both the parent and a representative of the district who has the authority to bind the district; and</w:t>
      </w: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Enforceable in any state court of competent jurisdiction or in a district court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>.</w:t>
      </w: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the parties execute an agreement pursuant to this section, a party may void the agreement within three business days of the agreement's execution.</w:t>
      </w: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717B77" w:rsidRDefault="00717B77" w:rsidP="00351A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17B77" w:rsidSect="00717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1A0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17B77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5592D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0C7F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0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2007-07-04T19:37:00Z</dcterms:created>
  <dcterms:modified xsi:type="dcterms:W3CDTF">2007-07-11T14:51:00Z</dcterms:modified>
</cp:coreProperties>
</file>