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24:05:31:06.  Limitation on reimbursement.</w:t>
      </w:r>
      <w:r>
        <w:rPr>
          <w:rFonts w:ascii="Times New Roman" w:hAnsi="Times New Roman"/>
          <w:sz w:val="24"/>
        </w:rPr>
        <w:t xml:space="preserve"> The cost of reimbursement described in § 24:05:31:05 may be reduced or denied if: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At the most recent individualized education program team meeting that the parents attended before removal of the child from the public school: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parents did not inform the individualized education program team that they were rejecting the placement proposed by the school district to provide a free appropriate public education to their child, including stating their concerns and their intent to enroll their child in a private school at public expense; or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(b)  At least ten business days, including any holidays that occur on a business day, before the removal of the child from the public school, the parents did not give written notice to the school district of the information described in subsection (a);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Before the parents’ removal of the child from the public school, the school district informed the parents, through the notice requirements described in chapter 24:05:30, of its intent to evaluate the child, including a statement of the purpose of the evaluation that was appropriate and reasonable, but the parents did not make the child available for the evaluation; or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Upon a judicial finding of unreasonableness with respect to actions taken by the parents.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F3392" w:rsidRDefault="001F3392" w:rsidP="001A0A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3392" w:rsidSect="001F3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0A47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39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2007-07-05T16:14:00Z</dcterms:created>
  <dcterms:modified xsi:type="dcterms:W3CDTF">2007-07-05T16:14:00Z</dcterms:modified>
</cp:coreProperties>
</file>