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24:05:32:03.03.  Location of services and transportation.</w:t>
      </w:r>
      <w:r>
        <w:rPr>
          <w:rFonts w:ascii="Times New Roman" w:hAnsi="Times New Roman"/>
          <w:sz w:val="24"/>
        </w:rPr>
        <w:t xml:space="preserve"> Services provided to eligible parentally-placed private school children may be provided on the premises of a child's private school, including a religious school, to the extent consistent with state law. If necessary for the child to benefit from or participate in the services provided under this chapter, a private school child with a disability must be provided transportation:</w:t>
      </w: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From the child's school or the child's home to a site other than the private school; and</w:t>
      </w: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From the service site to the private school, or to the child's home, depending on the timing of the services.</w:t>
      </w: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Districts are not required to provide transportation from the child's home to the private school. The cost of transportation described in this section may be included in calculating whether the district has met the requirement of § 24:05:32:01.02.</w:t>
      </w: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050B4" w:rsidRDefault="004050B4" w:rsidP="000164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050B4" w:rsidSect="004050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164C7"/>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50B4"/>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C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157</Words>
  <Characters>898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2007-07-05T19:22:00Z</dcterms:created>
  <dcterms:modified xsi:type="dcterms:W3CDTF">2007-07-05T19:22:00Z</dcterms:modified>
</cp:coreProperties>
</file>