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6BF68A" Type="http://schemas.openxmlformats.org/officeDocument/2006/relationships/officeDocument" Target="/word/document.xml" /><Relationship Id="coreR676BF68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24:05:33.01:02.  Terms of board members.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23 SDR 31, effective September 8, 1996</w:t>
      </w:r>
      <w:r>
        <w:rPr>
          <w:rFonts w:ascii="Times New Roman" w:hAnsi="Times New Roman"/>
          <w:sz w:val="24"/>
        </w:rPr>
        <w:t>; SL 2019, ch 87, § 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, effective July 1,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2004-07-15T20:54:00Z</dcterms:created>
  <cp:lastModifiedBy>Rhonda Purkapile</cp:lastModifiedBy>
  <dcterms:modified xsi:type="dcterms:W3CDTF">2019-05-16T19:48:10Z</dcterms:modified>
  <cp:revision>2</cp:revision>
</cp:coreProperties>
</file>