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24:14:02:05.  Monitoring of program.</w:t>
      </w:r>
      <w:r>
        <w:t xml:space="preserve"> In meeting the requirements of this article, the department shall use the following methods of administering the program: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Monitoring agencies, institutions, early intervention service providers, and organizations used by the state to carry out the provisions of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Enforcing any obligations imposed on those agencies, institutions, early intervention service providers, and organizations under the Individuals with Disabilities Education Act</w:t>
      </w:r>
      <w:r>
        <w:t xml:space="preserve"> and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Providing technical assistance, if necessary, to those agencies, institutions, early intervention service providers, and organizations;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(4)  Correcting any noncompliance identified through monitoring as soon as possible and </w:t>
      </w:r>
      <w:r>
        <w:t xml:space="preserve">no </w:t>
      </w:r>
      <w:r>
        <w:t>later than one year after the department's identification of noncompliance.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26 SDR 153, effective May 22, 2000; 28 SDR 105, effective January 31, 2002; 35 SDR 82, effective October 22, 2008;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2012-12-15T18:06:00Z</dcterms:created>
  <cp:lastModifiedBy>Kelly Thompson</cp:lastModifiedBy>
  <dcterms:modified xsi:type="dcterms:W3CDTF">2022-07-18T16:26:13Z</dcterms:modified>
  <cp:revision>4</cp:revision>
</cp:coreProperties>
</file>