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1E5BD9">
        <w:rPr>
          <w:b/>
        </w:rPr>
        <w:t>24:14:10:01.01.  Scope of child find.</w:t>
      </w:r>
      <w:r>
        <w:t xml:space="preserve"> The department, as part of the child find system, shall ensure that:</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All infants and toddlers with disabilities in the state who are eligible for early intervention services under Part C are identified, located, and evaluated, including:</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Native American infants and toddlers with disabilities residing on an Indian reservation geographically located in South Dakota, including coordination, as necessary, with tribes, tribal organizations, and consortia to identify infants and toddlers with disabilities in South Dakota, in part, on the information provided by them to the department;</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Infants and toddlers with disabilities who are homeless, in foster care, and wards of South Dakota; and</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Infants and toddlers with disabilities that are referenced in § 24:14:11:09; and</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An effective method is developed and implemented to identify children who are in need of early intervention services.</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873721" w:rsidRDefault="00873721" w:rsidP="002971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87372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12D"/>
    <w:rsid w:val="00086AE4"/>
    <w:rsid w:val="001E5BD9"/>
    <w:rsid w:val="0029712D"/>
    <w:rsid w:val="006F348C"/>
    <w:rsid w:val="00873721"/>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165</Words>
  <Characters>941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2012-12-15T18:51:00Z</dcterms:created>
  <dcterms:modified xsi:type="dcterms:W3CDTF">2012-12-15T18:52:00Z</dcterms:modified>
</cp:coreProperties>
</file>