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24:14:12:04.  Nondiscrimination.</w:t>
      </w:r>
      <w:r>
        <w:t xml:space="preserve"> The evaluation and assessment of children and families under this article must meet the following requirements for nondiscrimination: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(1)  Tests and other evaluation and assessment materials and procedures must be administered in the native language of the parents and the other family members being assessed pursuant to § 24:14:01:01(13), unless it is clearly not feasible to do so;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 xml:space="preserve">(2)  Any assessment and evaluation procedures and materials </w:t>
      </w:r>
      <w:r>
        <w:t xml:space="preserve">must be selected and administered so as not to be racially or culturally </w:t>
      </w:r>
      <w:r>
        <w:rPr>
          <w:lang w:val="en-US" w:bidi="en-US" w:eastAsia="en-US"/>
        </w:rPr>
        <w:t>biased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(3)  No single procedure may be used as the sole criteria for determining a child's eligibility under this article;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(4)  Evaluations and assessments must be conducted by qualified personnel;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(5) </w:t>
      </w:r>
      <w:r>
        <w:rPr>
          <w:lang w:val="en-US" w:bidi="en-US" w:eastAsia="en-US"/>
        </w:rPr>
        <w:t>Any test for a child with impaired sensory, manual, or speaking skils</w:t>
      </w:r>
      <w:r>
        <w:t xml:space="preserve"> must be selected and administered </w:t>
      </w:r>
      <w:r>
        <w:rPr>
          <w:lang w:val="en-US" w:bidi="en-US" w:eastAsia="en-US"/>
        </w:rPr>
        <w:t>to best reflect</w:t>
      </w:r>
      <w:r>
        <w:t xml:space="preserve"> the child's aptitude or the achievement level of </w:t>
      </w:r>
      <w:r>
        <w:rPr>
          <w:lang w:val="en-US" w:bidi="en-US" w:eastAsia="en-US"/>
        </w:rPr>
        <w:t>the factors measured by the test,</w:t>
      </w:r>
      <w:r>
        <w:t xml:space="preserve"> rather than reflecting the child's impaired </w:t>
      </w:r>
      <w:r>
        <w:t>skills.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20 SDR 223, effective July 7, 1994; 39 SDR 109, effective December 17, 2012</w:t>
      </w:r>
      <w:r>
        <w:rPr>
          <w:lang w:val="en-US" w:bidi="en-US" w:eastAsia="en-US"/>
        </w:rPr>
        <w:t xml:space="preserve">; 49 SDR 7, effective </w:t>
      </w:r>
      <w:r>
        <w:rPr>
          <w:lang w:val="en-US" w:bidi="en-US" w:eastAsia="en-US"/>
        </w:rPr>
        <w:t>July 31,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2012-12-15T19:21:00Z</dcterms:created>
  <cp:lastModifiedBy>Kelly Thompson</cp:lastModifiedBy>
  <dcterms:modified xsi:type="dcterms:W3CDTF">2022-07-19T20:45:22Z</dcterms:modified>
  <cp:revision>5</cp:revision>
</cp:coreProperties>
</file>