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24:14:13:01.  Individualized family service plan requirements.</w:t>
      </w:r>
      <w:r>
        <w:t xml:space="preserve"> Individualized family service plans must meet the following requirements: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Be developed jointly by the family and qualified personnel involved in the provision of early intervention services;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Be based on the multidisciplinary evaluation and assessment of the child and the assessment of the child's family;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Include services necessary to enhance the development of the child and the capacity of the family to meet the special needs of the child;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Be implemented as soon as possible once parental consent for early intervention services is obtained; and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Be developed in accordance with the procedures in this chapter.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>; 28 SDR 105, effective January 31, 2002; 39 SDR 109, effective December 17, 2012.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3F77B1" w:rsidRDefault="003F77B1" w:rsidP="00B86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F77B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056"/>
    <w:rsid w:val="00086AE4"/>
    <w:rsid w:val="003F77B1"/>
    <w:rsid w:val="008B09BA"/>
    <w:rsid w:val="009310B9"/>
    <w:rsid w:val="00B86056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791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2012-12-15T19:24:00Z</dcterms:created>
  <dcterms:modified xsi:type="dcterms:W3CDTF">2012-12-16T16:03:00Z</dcterms:modified>
</cp:coreProperties>
</file>