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92B76D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24:52:02:01.  Justification.</w:t>
      </w:r>
      <w:r>
        <w:rPr>
          <w:rFonts w:ascii="Times New Roman" w:hAnsi="Times New Roman"/>
          <w:sz w:val="24"/>
        </w:rPr>
        <w:t xml:space="preserve"> Deaccessioning is the process of permanently removing an object from a museum collection. The board may deaccession museum objects under any of the following circumstances: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objects have lost their physical integrity, identity, or authenticity;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objects are no longer relevant and useful to the purposes and activities of the museum;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The museum cannot store, preserve, or use the objects under conditions that are consistent with professional standards in the </w:t>
      </w:r>
      <w:r>
        <w:rPr>
          <w:rFonts w:ascii="Times New Roman" w:hAnsi="Times New Roman"/>
          <w:b w:val="1"/>
          <w:sz w:val="24"/>
        </w:rPr>
        <w:t>Manual for Museums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b w:val="1"/>
          <w:sz w:val="24"/>
          <w:lang w:val="en-US" w:bidi="en-US" w:eastAsia="en-US"/>
        </w:rPr>
        <w:t>Code of</w:t>
      </w:r>
      <w:r>
        <w:rPr>
          <w:rFonts w:ascii="Times New Roman" w:hAnsi="Times New Roman"/>
          <w:b w:val="1"/>
          <w:sz w:val="24"/>
        </w:rPr>
        <w:t xml:space="preserve"> Ethics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for </w:t>
      </w:r>
      <w:r>
        <w:rPr>
          <w:rFonts w:ascii="Times New Roman" w:hAnsi="Times New Roman"/>
          <w:b w:val="1"/>
          <w:sz w:val="24"/>
          <w:lang w:val="en-US" w:bidi="en-US" w:eastAsia="en-US"/>
        </w:rPr>
        <w:t>Museums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collection would be improved through the sale or exchange of objects for new acquisitions;</w:t>
      </w:r>
      <w:r>
        <w:rPr>
          <w:rFonts w:ascii="Times New Roman" w:hAnsi="Times New Roman"/>
          <w:sz w:val="24"/>
          <w:lang w:val="en-US" w:bidi="en-US" w:eastAsia="en-US"/>
        </w:rPr>
        <w:t xml:space="preserve">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Native American Graves Protection and Repatriation Act of 1990 Pub. L. No. 101-601; 25 U.S.C. § 3001-3013; 104 Stat. 3048-3058, as in effect on January 1, 1994, applies to the objects.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September 1, 1986; 20 SDR 114, effective January 23, 1994</w:t>
      </w:r>
      <w:r>
        <w:rPr>
          <w:rFonts w:ascii="Times New Roman" w:hAnsi="Times New Roman"/>
          <w:sz w:val="24"/>
        </w:rPr>
        <w:t>; 44 SDR 43, effective September 12,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References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 w:val="1"/>
          <w:sz w:val="24"/>
        </w:rPr>
        <w:t>Manual for Museums</w:t>
      </w:r>
      <w:r>
        <w:rPr>
          <w:rFonts w:ascii="Times New Roman" w:hAnsi="Times New Roman"/>
          <w:sz w:val="24"/>
        </w:rPr>
        <w:t>, by Ralph H. Lewis, Washington: National Park Service</w:t>
      </w:r>
      <w:r>
        <w:rPr>
          <w:rFonts w:ascii="Times New Roman" w:hAnsi="Times New Roman"/>
          <w:sz w:val="24"/>
        </w:rPr>
        <w:t>. Copies may be obtained from the Superintendent of Documents, U.S. Government Printing Office, Washington, DC 20402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Code of</w:t>
      </w:r>
      <w:r>
        <w:rPr>
          <w:rFonts w:ascii="Times New Roman" w:hAnsi="Times New Roman"/>
          <w:b w:val="1"/>
          <w:sz w:val="24"/>
        </w:rPr>
        <w:t xml:space="preserve"> Ethics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for Museums</w:t>
      </w:r>
      <w:r>
        <w:rPr>
          <w:rFonts w:ascii="Times New Roman" w:hAnsi="Times New Roman"/>
          <w:sz w:val="24"/>
        </w:rPr>
        <w:t>, Washington: American Association of Museums</w:t>
      </w:r>
      <w:r>
        <w:rPr>
          <w:rFonts w:ascii="Times New Roman" w:hAnsi="Times New Roman"/>
          <w:sz w:val="24"/>
        </w:rPr>
        <w:t>. Copies may be obtained from the American Association of Museums, 1055 Thomas Jefferson Street, NW, Washington, DC 20007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