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24:52:06:01.  Cri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 for listing on state register.</w:t>
      </w:r>
      <w:r>
        <w:rPr>
          <w:rFonts w:ascii="Times New Roman" w:hAnsi="Times New Roman"/>
          <w:sz w:val="24"/>
        </w:rPr>
        <w:t xml:space="preserve"> Districts, sites, buildings, structures, and objects that possess integrity of location, design, setting, ma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als, workmanship, feeling, and association are eligible for inclusion in the State Register of Historic Places if they satisfy at least one of the following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a: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They are associated with events that have made significant contributions in the broad patterns of local, regional, or state history, including settlement, agriculture, commerce, and transportation;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They are associated with the lives of persons significant in the past of this state or the past of a region of this state;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They represent distinctive types, periods, or methods of construction; they represent the work of a master; they possess high artistic values; or they represent cultural or regional building patterns; or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They are associated with prehistoric or historic archaeology.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 xml:space="preserve">;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32374A" w:rsidRDefault="0032374A" w:rsidP="00A354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374A" w:rsidSect="003237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2374A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5445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2004-07-20T17:00:00Z</dcterms:created>
  <dcterms:modified xsi:type="dcterms:W3CDTF">2004-07-20T17:01:00Z</dcterms:modified>
</cp:coreProperties>
</file>