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6" w:rsidRDefault="004B62F6" w:rsidP="00F74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24:52:10:05.  Expenditures to be consistent with SDCL 1-19B.</w:t>
      </w:r>
      <w:r>
        <w:rPr>
          <w:rFonts w:ascii="Times New Roman" w:hAnsi="Times New Roman"/>
          <w:sz w:val="24"/>
        </w:rPr>
        <w:t xml:space="preserve"> Expenditures of Deadwood preservation funds must be consistent with the provisions of SDCL chapter 1-19B.</w:t>
      </w:r>
    </w:p>
    <w:p w:rsidR="004B62F6" w:rsidRDefault="004B62F6" w:rsidP="00F74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62F6" w:rsidRDefault="004B62F6" w:rsidP="00F74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5"/>
          <w:attr w:name="Month" w:val="2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>.</w:t>
      </w:r>
    </w:p>
    <w:p w:rsidR="004B62F6" w:rsidRDefault="004B62F6" w:rsidP="00F74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4B62F6" w:rsidRDefault="004B62F6" w:rsidP="00F74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4B62F6" w:rsidRDefault="004B62F6" w:rsidP="00F748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62F6" w:rsidSect="004B62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4B62F6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74862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6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2004-07-20T20:33:00Z</dcterms:created>
  <dcterms:modified xsi:type="dcterms:W3CDTF">2004-07-20T20:33:00Z</dcterms:modified>
</cp:coreProperties>
</file>