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19E950" Type="http://schemas.openxmlformats.org/officeDocument/2006/relationships/officeDocument" Target="/word/document.xml" /><Relationship Id="coreR6219E9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41:07:01:10.  Liberalized fishing waters restrictions.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 SDR 31, effective November 27, 1977; 10 SDR 76, 10 SDR 102, effective July 1, 1984; 31 SDR 89, effective December 27, 2004; 38 SDR 116, effective January 10, 2012</w:t>
      </w:r>
      <w:r>
        <w:rPr>
          <w:rFonts w:ascii="Times New Roman" w:hAnsi="Times New Roman"/>
          <w:sz w:val="24"/>
        </w:rPr>
        <w:t>; 45 SDR 89, effective December 31,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2012-01-25T19:42:00Z</dcterms:created>
  <cp:lastModifiedBy>Rhonda Purkapile</cp:lastModifiedBy>
  <dcterms:modified xsi:type="dcterms:W3CDTF">2018-12-26T14:34:46Z</dcterms:modified>
  <cp:revision>3</cp:revision>
</cp:coreProperties>
</file>