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00503" Type="http://schemas.openxmlformats.org/officeDocument/2006/relationships/officeDocument" Target="/word/document.xml" /><Relationship Id="coreR1B005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44:12:01:05.  Tattoo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and saline tattoo removal</w:t>
      </w:r>
      <w:r>
        <w:rPr>
          <w:rFonts w:ascii="Times New Roman" w:hAnsi="Times New Roman"/>
          <w:b w:val="1"/>
          <w:sz w:val="24"/>
        </w:rPr>
        <w:t xml:space="preserve"> establishments -- Toilet facilities.</w:t>
      </w:r>
      <w:r>
        <w:rPr>
          <w:rFonts w:ascii="Times New Roman" w:hAnsi="Times New Roman"/>
          <w:sz w:val="24"/>
        </w:rPr>
        <w:t xml:space="preserve"> Toilet facilities must be available for employee or patron 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64, effective November 3, 1992</w:t>
      </w:r>
      <w:r>
        <w:rPr>
          <w:rFonts w:ascii="Times New Roman" w:hAnsi="Times New Roman"/>
          <w:sz w:val="24"/>
        </w:rPr>
        <w:t>; 46 SDR 65, effective November 26,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9-34-17, 34-1-17(8).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2004-08-02T22:10:00Z</dcterms:created>
  <cp:lastModifiedBy>Rhonda Purkapile</cp:lastModifiedBy>
  <dcterms:modified xsi:type="dcterms:W3CDTF">2019-11-14T21:43:29Z</dcterms:modified>
  <cp:revision>3</cp:revision>
</cp:coreProperties>
</file>