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610EA">
        <w:rPr>
          <w:rFonts w:ascii="Times New Roman" w:hAnsi="Times New Roman"/>
          <w:b/>
          <w:sz w:val="24"/>
        </w:rPr>
        <w:t>44:67:01:05.  Grounds for suspension or revocation of license.</w:t>
      </w:r>
      <w:r>
        <w:rPr>
          <w:rFonts w:ascii="Times New Roman" w:hAnsi="Times New Roman"/>
          <w:sz w:val="24"/>
        </w:rPr>
        <w:t xml:space="preserve"> The department may suspend or revoke a license issued under SDCL chapter 34-23A and this chapter on any of the following grounds: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Violation of any of the provisions of SDCL chapter 34-23A or this chapter;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Permitting, aiding, or abetting the commission of any unlawful act in the facility;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Conduct of practices detrimental to the welfare of the patient; and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Failure to allow department inspections, including complaint inspections and necessary follow-up inspections.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34-23A-46, 34-23A-48, 34-23A-51.</w:t>
      </w:r>
    </w:p>
    <w:p w:rsidR="00BC13E6" w:rsidRDefault="00BC13E6" w:rsidP="00246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C13E6" w:rsidSect="00BC1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6DF4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610EA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13E6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</Words>
  <Characters>596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2006-12-22T19:13:00Z</dcterms:created>
  <dcterms:modified xsi:type="dcterms:W3CDTF">2006-12-22T19:14:00Z</dcterms:modified>
</cp:coreProperties>
</file>