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DB9F29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Other hazardous conditions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 owner or operator may be directed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remove or correct any hazardous condition not covered in this chapter if the department considers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condition to have the potential to cause injury or illness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44 SDR 66, effective October 17,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34-12-13.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34-12-13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