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55CEA4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62:01:03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RETIREMENT </w:t>
      </w:r>
      <w:r>
        <w:rPr>
          <w:rFonts w:ascii="Times New Roman" w:hAnsi="Times New Roman"/>
          <w:b w:val="1"/>
          <w:sz w:val="24"/>
          <w:lang w:val="en-US" w:bidi="en-US" w:eastAsia="en-US"/>
        </w:rPr>
        <w:t>BENEFIT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62:01:03:01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62:01:03:02</w:t>
        <w:tab/>
        <w:tab/>
        <w:t xml:space="preserve">Determination of eligibility for retirement </w:t>
      </w:r>
      <w:r>
        <w:rPr>
          <w:rFonts w:ascii="Times New Roman" w:hAnsi="Times New Roman"/>
          <w:sz w:val="24"/>
          <w:lang w:val="en-US" w:bidi="en-US" w:eastAsia="en-US"/>
        </w:rPr>
        <w:t>benefit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62:01:03:02.01</w:t>
        <w:tab/>
        <w:t>Certification when retired member becomes reemployed -- Penalty.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62:01:03:03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62:01:03:04</w:t>
        <w:tab/>
        <w:tab/>
        <w:t>Independent status of the surviving spouse benefit if the member was retired or of retirement age.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62:01:03:05</w:t>
        <w:tab/>
        <w:tab/>
        <w:t>Privatized member's acquisition of certain service credit -- Retirement while continuing to work for a private employer.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