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B64FB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  <w:jc w:val="center"/>
        <w:rPr>
          <w:b w:val="1"/>
        </w:rPr>
      </w:pPr>
      <w:r>
        <w:rPr>
          <w:b w:val="1"/>
        </w:rPr>
        <w:t>CHAPTER 64:26:02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  <w:jc w:val="center"/>
        <w:rPr>
          <w:b w:val="1"/>
        </w:rPr>
      </w:pPr>
      <w:r>
        <w:rPr>
          <w:b w:val="1"/>
        </w:rPr>
        <w:t>ADMINISTRATION OF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64:26:02:04</w:t>
        <w:tab/>
        <w:tab/>
        <w:t>Federal income tax return to be submitted with state return.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64:26:02:05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64:26:02:06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64:26:02:07</w:t>
        <w:tab/>
        <w:tab/>
        <w:t>Consolidated returns.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64:26:02:11</w:t>
        <w:tab/>
        <w:tab/>
        <w:t>Certain corporations not in the business of making loans.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>64:26:02:12</w:t>
        <w:tab/>
        <w:tab/>
        <w:t>Apportionment of bank franchise tax revenues among counties.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  <w:r>
        <w:tab/>
      </w:r>
      <w:r>
        <w:rPr>
          <w:b w:val="1"/>
        </w:rPr>
        <w:t>Declaratory Ruling:</w:t>
      </w:r>
      <w:r>
        <w:t xml:space="preserve"> </w:t>
      </w:r>
      <w:r>
        <w:t xml:space="preserve"> Secretary of Revenue Declaratory Ruling No. 77-24</w:t>
      </w:r>
      <w:r>
        <w:rPr>
          <w:lang w:val="en-US" w:bidi="en-US" w:eastAsia="en-US"/>
        </w:rPr>
        <w:t xml:space="preserve"> is obsolete due to the repeal of </w:t>
      </w:r>
      <w:r>
        <w:rPr>
          <w:lang w:val="en-US" w:bidi="en-US" w:eastAsia="en-US"/>
        </w:rPr>
        <w:t>SDCL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10-43-50 and 10-43-51</w:t>
      </w:r>
      <w:r>
        <w:rPr>
          <w:lang w:val="en-US" w:bidi="en-US" w:eastAsia="en-US"/>
        </w:rPr>
        <w:t xml:space="preserve"> in </w:t>
      </w:r>
      <w:r>
        <w:rPr>
          <w:lang w:val="en-US" w:bidi="en-US" w:eastAsia="en-US"/>
        </w:rPr>
        <w:t>2016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left" w:pos="878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